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00"/>
        <w:jc w:val="center"/>
      </w:pPr>
      <w:r>
        <w:rPr>
          <w:b/>
          <w:color w:val="1F3864"/>
          <w:sz w:val="48"/>
        </w:rPr>
        <w:t>STATUTEN &amp; GESELLSCHAFTERVERTRAG</w:t>
      </w:r>
    </w:p>
    <w:p>
      <w:pPr>
        <w:jc w:val="center"/>
      </w:pPr>
      <w:r>
        <w:rPr>
          <w:color w:val="4472C4"/>
          <w:sz w:val="26"/>
        </w:rPr>
        <w:t>Muster für AG und GmbH – Vorlage KMU Navigation</w:t>
      </w:r>
    </w:p>
    <w:p/>
    <w:tbl>
      <w:tblPr>
        <w:tblW w:type="auto" w:w="0"/>
        <w:tblLayout w:type="autofit"/>
        <w:tblLook w:firstColumn="1" w:firstRow="1" w:lastColumn="0" w:lastRow="0" w:noHBand="0" w:noVBand="1" w:val="04A0"/>
      </w:tblPr>
      <w:tblGrid>
        <w:gridCol w:w="9746"/>
      </w:tblGrid>
      <w:tr>
        <w:tc>
          <w:tcPr>
            <w:tcW w:type="dxa" w:w="9746"/>
            <w:shd w:val="clear" w:color="auto" w:fill="FBE9E7"/>
          </w:tcPr>
          <w:p>
            <w:r>
              <w:rPr>
                <w:b/>
                <w:color w:val="B23A2E"/>
                <w:sz w:val="20"/>
              </w:rPr>
              <w:t>WICHTIGER HINWEIS: Dies ist eine unverbindliche MUSTERVORLAGE und ersetzt keine Rechtsberatung. Statuten (AG) und Gesellschaftervertrag (GmbH) müssen in der Schweiz öffentlich beurkundet werden (Art. 629 bzw. Art. 777 OR) und sind vor der Beurkundung zwingend durch eine Notarin/einen Notar sowie empfehlenswerterweise durch eine Treuhand- oder Rechtsfachperson zu prüfen und auf den Einzelfall anzupassen. KMU Navigation / B managed GmbH übernimmt keine Haftung für die Verwendung dieser Vorlage.</w:t>
            </w:r>
          </w:p>
        </w:tc>
      </w:tr>
    </w:tbl>
    <w:p/>
    <w:p>
      <w:r>
        <w:t>Verwenden Sie nur den Teil, der zu Ihrer gewählten Rechtsform passt: Teil A für die Aktiengesellschaft (AG), Teil B für die Gesellschaft mit beschränkter Haftung (GmbH).</w:t>
      </w:r>
    </w:p>
    <w:p>
      <w:r>
        <w:br w:type="page"/>
      </w:r>
    </w:p>
    <w:p>
      <w:pPr>
        <w:pStyle w:val="Heading1"/>
      </w:pPr>
      <w:r>
        <w:t>Teil A — Statuten der [Firmenname] AG</w:t>
      </w:r>
    </w:p>
    <w:p>
      <w:pPr>
        <w:pStyle w:val="Heading2"/>
      </w:pPr>
      <w:r>
        <w:t>I. Firma, Sitz, Zweck, Dauer</w:t>
      </w:r>
    </w:p>
    <w:p>
      <w:r>
        <w:rPr>
          <w:b/>
        </w:rPr>
        <w:t xml:space="preserve">Art. 1 Firma und Sitz </w:t>
      </w:r>
      <w:r>
        <w:t>Unter der Firma «[Firmenname] AG» besteht eine Aktiengesellschaft im Sinne von Art. 620 ff. OR mit Sitz in [Ort, Kanton].</w:t>
      </w:r>
    </w:p>
    <w:p>
      <w:r>
        <w:rPr>
          <w:b/>
        </w:rPr>
        <w:t xml:space="preserve">Art. 2 Zweck </w:t>
      </w:r>
      <w:r>
        <w:t>Die Gesellschaft bezweckt [genaue Beschreibung der Geschäftstätigkeit, z. B. «die Entwicklung, Herstellung und den Vertrieb von …»]. Sie kann Zweigniederlassungen und Tochtergesellschaften im In- und Ausland errichten, sich an anderen Unternehmen beteiligen sowie Grundeigentum erwerben, belasten und veräussern, soweit dies dem Gesellschaftszweck dient.</w:t>
      </w:r>
    </w:p>
    <w:p>
      <w:r>
        <w:rPr>
          <w:b/>
        </w:rPr>
        <w:t xml:space="preserve">Art. 3 Dauer </w:t>
      </w:r>
      <w:r>
        <w:t>Die Dauer der Gesellschaft ist unbeschränkt.</w:t>
      </w:r>
    </w:p>
    <w:p>
      <w:pPr>
        <w:pStyle w:val="Heading2"/>
      </w:pPr>
      <w:r>
        <w:t>II. Aktienkapital und Aktien</w:t>
      </w:r>
    </w:p>
    <w:p>
      <w:r>
        <w:rPr>
          <w:b/>
        </w:rPr>
        <w:t xml:space="preserve">Art. 4 Aktienkapital </w:t>
      </w:r>
      <w:r>
        <w:t>Das Aktienkapital der Gesellschaft beträgt CHF [Betrag, mind. CHF 100'000], eingeteilt in [Anzahl] Namenaktien zu je CHF [Nennwert]. Das Aktienkapital ist im Umfang von mindestens 20 %, mindestens aber CHF 50'000, liberiert (Art. 632 OR).</w:t>
      </w:r>
    </w:p>
    <w:p>
      <w:r>
        <w:rPr>
          <w:b/>
        </w:rPr>
        <w:t xml:space="preserve">Art. 5 Namenaktien </w:t>
      </w:r>
      <w:r>
        <w:t>Die Aktien lauten auf den Namen. Die Gesellschaft führt ein Aktienbuch, in das Eigentümer und Nutzniesser der Namenaktien mit Namen und Adresse einzutragen sind.</w:t>
      </w:r>
    </w:p>
    <w:p>
      <w:r>
        <w:rPr>
          <w:b/>
        </w:rPr>
        <w:t xml:space="preserve">Art. 6 Übertragung von Aktien </w:t>
      </w:r>
      <w:r>
        <w:t>[Falls gewünscht: Übertragungsbeschränkungen (Vinkulierung) gemäss Art. 685a ff. OR einfügen, z. B. Zustimmungspflicht des Verwaltungsrats bei Handänderung.]</w:t>
      </w:r>
    </w:p>
    <w:p>
      <w:pPr>
        <w:pStyle w:val="Heading2"/>
      </w:pPr>
      <w:r>
        <w:t>III. Organisation</w:t>
      </w:r>
    </w:p>
    <w:p>
      <w:r>
        <w:rPr>
          <w:b/>
        </w:rPr>
        <w:t xml:space="preserve">Art. 7 Organe </w:t>
      </w:r>
      <w:r>
        <w:t>Die Organe der Gesellschaft sind: a) die Generalversammlung; b) der Verwaltungsrat; c) die Revisionsstelle (sofern nicht rechtsgültig auf sie verzichtet wird, «Opting-out», Art. 727a Abs. 2 OR).</w:t>
      </w:r>
    </w:p>
    <w:p>
      <w:r>
        <w:rPr>
          <w:b/>
        </w:rPr>
        <w:t xml:space="preserve">Art. 8 Generalversammlung </w:t>
      </w:r>
      <w:r>
        <w:t>Die ordentliche Generalversammlung findet jährlich innert sechs Monaten nach Abschluss des Geschäftsjahres statt. Einberufung, Traktandierung und Beschlussfassung richten sich nach Art. 698 ff. OR.</w:t>
      </w:r>
    </w:p>
    <w:p>
      <w:r>
        <w:rPr>
          <w:b/>
        </w:rPr>
        <w:t xml:space="preserve">Art. 9 Verwaltungsrat </w:t>
      </w:r>
      <w:r>
        <w:t>Der Verwaltungsrat besteht aus einem oder mehreren Mitgliedern. Er vertritt die Gesellschaft nach aussen und führt die Geschäfte, soweit er diese nicht delegiert hat. Die Zeichnungsberechtigung wird vom Verwaltungsrat festgelegt und im Handelsregister eingetragen.</w:t>
      </w:r>
    </w:p>
    <w:p>
      <w:r>
        <w:rPr>
          <w:b/>
        </w:rPr>
        <w:t xml:space="preserve">Art. 10 Revisionsstelle </w:t>
      </w:r>
      <w:r>
        <w:t>[Variante 1: Die Gesellschaft bezeichnet als Revisionsstelle …] [Variante 2 – Opting-out: Sofern die gesetzlichen Voraussetzungen erfüllt sind (Art. 727a Abs. 2 OR: nicht mehr als 10 Vollzeitstellen im Jahresdurchschnitt und Zustimmung sämtlicher Aktionäre), verzichtet die Gesellschaft auf eine eingeschränkte Revision.]</w:t>
      </w:r>
    </w:p>
    <w:p>
      <w:pPr>
        <w:pStyle w:val="Heading2"/>
      </w:pPr>
      <w:r>
        <w:t>IV. Rechnungswesen und Gewinnverwendung</w:t>
      </w:r>
    </w:p>
    <w:p>
      <w:r>
        <w:rPr>
          <w:b/>
        </w:rPr>
        <w:t xml:space="preserve">Art. 11 Geschäftsjahr und Gewinnverwendung </w:t>
      </w:r>
      <w:r>
        <w:t>Das Geschäftsjahr wird vom Verwaltungsrat festgelegt (üblich: Kalenderjahr, erstes Geschäftsjahr als Rumpfjahr). Über die Verwendung des Bilanzgewinns entscheidet die Generalversammlung im Rahmen der gesetzlichen Vorschriften über die gesetzlichen Reserven (Art. 671 ff. OR).</w:t>
      </w:r>
    </w:p>
    <w:p>
      <w:pPr>
        <w:pStyle w:val="Heading2"/>
      </w:pPr>
      <w:r>
        <w:t>V. Auflösung und Bekanntmachungen</w:t>
      </w:r>
    </w:p>
    <w:p>
      <w:r>
        <w:rPr>
          <w:b/>
        </w:rPr>
        <w:t xml:space="preserve">Art. 12 Auflösung </w:t>
      </w:r>
      <w:r>
        <w:t>Die Auflösung der Gesellschaft erfolgt nach den gesetzlichen Bestimmungen (Art. 736 ff. OR).</w:t>
      </w:r>
    </w:p>
    <w:p>
      <w:r>
        <w:rPr>
          <w:b/>
        </w:rPr>
        <w:t xml:space="preserve">Art. 13 Publikationsorgan </w:t>
      </w:r>
      <w:r>
        <w:t>Publikationsorgan der Gesellschaft ist das Schweizerische Handelsamtsblatt (SHAB).</w:t>
      </w:r>
    </w:p>
    <w:p/>
    <w:p>
      <w:r>
        <w:t>Ort, Datum: ____________________    Unterschrift(en) Gründer/in(nen): ____________________</w:t>
      </w:r>
    </w:p>
    <w:p>
      <w:r>
        <w:br w:type="page"/>
      </w:r>
    </w:p>
    <w:p>
      <w:pPr>
        <w:pStyle w:val="Heading1"/>
      </w:pPr>
      <w:r>
        <w:t>Teil B — Statuten der [Firmenname] GmbH</w:t>
      </w:r>
    </w:p>
    <w:p>
      <w:pPr>
        <w:pStyle w:val="Heading2"/>
      </w:pPr>
      <w:r>
        <w:t>I. Firma, Sitz, Zweck, Dauer</w:t>
      </w:r>
    </w:p>
    <w:p>
      <w:r>
        <w:rPr>
          <w:b/>
        </w:rPr>
        <w:t xml:space="preserve">Art. 1 Firma und Sitz </w:t>
      </w:r>
      <w:r>
        <w:t>Unter der Firma «[Firmenname] GmbH» besteht eine Gesellschaft mit beschränkter Haftung im Sinne von Art. 772 ff. OR mit Sitz in [Ort, Kanton].</w:t>
      </w:r>
    </w:p>
    <w:p>
      <w:r>
        <w:rPr>
          <w:b/>
        </w:rPr>
        <w:t xml:space="preserve">Art. 2 Zweck </w:t>
      </w:r>
      <w:r>
        <w:t>Die Gesellschaft bezweckt [genaue Beschreibung der Geschäftstätigkeit]. Sie kann Zweigniederlassungen errichten, sich an anderen Unternehmen beteiligen sowie Grundeigentum erwerben, belasten und veräussern, soweit dies dem Gesellschaftszweck dient.</w:t>
      </w:r>
    </w:p>
    <w:p>
      <w:r>
        <w:rPr>
          <w:b/>
        </w:rPr>
        <w:t xml:space="preserve">Art. 3 Dauer </w:t>
      </w:r>
      <w:r>
        <w:t>Die Dauer der Gesellschaft ist unbeschränkt.</w:t>
      </w:r>
    </w:p>
    <w:p>
      <w:pPr>
        <w:pStyle w:val="Heading2"/>
      </w:pPr>
      <w:r>
        <w:t>II. Stammkapital und Stammanteile</w:t>
      </w:r>
    </w:p>
    <w:p>
      <w:r>
        <w:rPr>
          <w:b/>
        </w:rPr>
        <w:t xml:space="preserve">Art. 4 Stammkapital </w:t>
      </w:r>
      <w:r>
        <w:t>Das Stammkapital der Gesellschaft beträgt CHF [Betrag, mind. CHF 20'000] und ist in [Anzahl] Stammanteile zu je CHF [Nennwert] eingeteilt. Das Stammkapital ist vollständig liberiert.</w:t>
      </w:r>
    </w:p>
    <w:tbl>
      <w:tblPr>
        <w:tblStyle w:val="LightGrid-Accent1"/>
        <w:tblW w:type="auto" w:w="0"/>
        <w:tblLook w:firstColumn="1" w:firstRow="1" w:lastColumn="0" w:lastRow="0" w:noHBand="0" w:noVBand="1" w:val="04A0"/>
      </w:tblPr>
      <w:tblGrid>
        <w:gridCol w:w="3249"/>
        <w:gridCol w:w="3249"/>
        <w:gridCol w:w="3249"/>
      </w:tblGrid>
      <w:tr>
        <w:tc>
          <w:tcPr>
            <w:tcW w:type="dxa" w:w="3249"/>
          </w:tcPr>
          <w:p>
            <w:r>
              <w:t>Gesellschafter/in</w:t>
            </w:r>
          </w:p>
        </w:tc>
        <w:tc>
          <w:tcPr>
            <w:tcW w:type="dxa" w:w="3249"/>
          </w:tcPr>
          <w:p>
            <w:r>
              <w:t>Anzahl Stammanteile</w:t>
            </w:r>
          </w:p>
        </w:tc>
        <w:tc>
          <w:tcPr>
            <w:tcW w:type="dxa" w:w="3249"/>
          </w:tcPr>
          <w:p>
            <w:r>
              <w:t>Stammkapitalanteil</w:t>
            </w:r>
          </w:p>
        </w:tc>
      </w:tr>
      <w:tr>
        <w:tc>
          <w:tcPr>
            <w:tcW w:type="dxa" w:w="3249"/>
          </w:tcPr>
          <w:p>
            <w:r>
              <w:t>[Name]</w:t>
            </w:r>
          </w:p>
        </w:tc>
        <w:tc>
          <w:tcPr>
            <w:tcW w:type="dxa" w:w="3249"/>
          </w:tcPr>
          <w:p>
            <w:r>
              <w:t>[Anzahl]</w:t>
            </w:r>
          </w:p>
        </w:tc>
        <w:tc>
          <w:tcPr>
            <w:tcW w:type="dxa" w:w="3249"/>
          </w:tcPr>
          <w:p>
            <w:r>
              <w:t>CHF [Betrag] / [%]</w:t>
            </w:r>
          </w:p>
        </w:tc>
      </w:tr>
      <w:tr>
        <w:tc>
          <w:tcPr>
            <w:tcW w:type="dxa" w:w="3249"/>
          </w:tcPr>
          <w:p>
            <w:r>
              <w:t>[Name]</w:t>
            </w:r>
          </w:p>
        </w:tc>
        <w:tc>
          <w:tcPr>
            <w:tcW w:type="dxa" w:w="3249"/>
          </w:tcPr>
          <w:p>
            <w:r>
              <w:t>[Anzahl]</w:t>
            </w:r>
          </w:p>
        </w:tc>
        <w:tc>
          <w:tcPr>
            <w:tcW w:type="dxa" w:w="3249"/>
          </w:tcPr>
          <w:p>
            <w:r>
              <w:t>CHF [Betrag] / [%]</w:t>
            </w:r>
          </w:p>
        </w:tc>
      </w:tr>
      <w:tr>
        <w:tc>
          <w:tcPr>
            <w:tcW w:type="dxa" w:w="3249"/>
          </w:tcPr>
          <w:p>
            <w:r>
              <w:t>[Name]</w:t>
            </w:r>
          </w:p>
        </w:tc>
        <w:tc>
          <w:tcPr>
            <w:tcW w:type="dxa" w:w="3249"/>
          </w:tcPr>
          <w:p>
            <w:r>
              <w:t>[Anzahl]</w:t>
            </w:r>
          </w:p>
        </w:tc>
        <w:tc>
          <w:tcPr>
            <w:tcW w:type="dxa" w:w="3249"/>
          </w:tcPr>
          <w:p>
            <w:r>
              <w:t>CHF [Betrag] / [%]</w:t>
            </w:r>
          </w:p>
        </w:tc>
      </w:tr>
    </w:tbl>
    <w:p/>
    <w:p>
      <w:r>
        <w:rPr>
          <w:b/>
        </w:rPr>
        <w:t xml:space="preserve">Art. 5 Übertragung von Stammanteilen </w:t>
      </w:r>
      <w:r>
        <w:t>Die Abtretung von Stammanteilen bedarf der Zustimmung der Gesellschafterversammlung mit einer Mehrheit von mindestens zwei Dritteln der vertretenen Stimmen, die gleichzeitig die Mehrheit des gesamten Stammkapitals vertreten müssen (Art. 786 f. OR), sofern hier nichts Abweichendes bestimmt wird.</w:t>
      </w:r>
    </w:p>
    <w:p>
      <w:r>
        <w:rPr>
          <w:b/>
        </w:rPr>
        <w:t xml:space="preserve">Art. 6 Nachschusspflicht </w:t>
      </w:r>
      <w:r>
        <w:t>Die Gesellschafter/innen sind zu keinen über die Stammeinlage hinausgehenden Nachschüssen verpflichtet.</w:t>
      </w:r>
    </w:p>
    <w:p>
      <w:pPr>
        <w:pStyle w:val="Heading2"/>
      </w:pPr>
      <w:r>
        <w:t>III. Organisation</w:t>
      </w:r>
    </w:p>
    <w:p>
      <w:r>
        <w:rPr>
          <w:b/>
        </w:rPr>
        <w:t xml:space="preserve">Art. 7 Organe </w:t>
      </w:r>
      <w:r>
        <w:t>Die Organe der Gesellschaft sind: a) die Gesellschafterversammlung; b) die Geschäftsführung; c) die Revisionsstelle (sofern nicht rechtsgültig darauf verzichtet wird, «Opting-out», Art. 818 i. V. m. Art. 727a Abs. 2 OR).</w:t>
      </w:r>
    </w:p>
    <w:p>
      <w:r>
        <w:rPr>
          <w:b/>
        </w:rPr>
        <w:t xml:space="preserve">Art. 8 Gesellschafterversammlung </w:t>
      </w:r>
      <w:r>
        <w:t>Die ordentliche Gesellschafterversammlung findet jährlich innert sechs Monaten nach Abschluss des Geschäftsjahres statt. Einberufung, Zuständigkeit und Beschlussfassung richten sich nach Art. 804 ff. OR.</w:t>
      </w:r>
    </w:p>
    <w:p>
      <w:r>
        <w:rPr>
          <w:b/>
        </w:rPr>
        <w:t xml:space="preserve">Art. 9 Geschäftsführung </w:t>
      </w:r>
      <w:r>
        <w:t>Die Geschäftsführung obliegt [Name(n)] als Geschäftsführer/in. Die Zeichnungsberechtigung wird festgelegt und im Handelsregister eingetragen.</w:t>
      </w:r>
    </w:p>
    <w:p>
      <w:pPr>
        <w:pStyle w:val="Heading2"/>
      </w:pPr>
      <w:r>
        <w:t>IV. Rechnungswesen, Gewinnverwendung, Auflösung</w:t>
      </w:r>
    </w:p>
    <w:p>
      <w:r>
        <w:rPr>
          <w:b/>
        </w:rPr>
        <w:t xml:space="preserve">Art. 10 Geschäftsjahr und Gewinnverwendung </w:t>
      </w:r>
      <w:r>
        <w:t>Das Geschäftsjahr wird von der Geschäftsführung festgelegt. Über die Verwendung des Bilanzgewinns entscheidet die Gesellschafterversammlung im Rahmen der gesetzlichen Vorschriften.</w:t>
      </w:r>
    </w:p>
    <w:p>
      <w:r>
        <w:rPr>
          <w:b/>
        </w:rPr>
        <w:t xml:space="preserve">Art. 11 Auflösung </w:t>
      </w:r>
      <w:r>
        <w:t>Die Auflösung der Gesellschaft erfolgt nach den gesetzlichen Bestimmungen (Art. 821 ff. OR).</w:t>
      </w:r>
    </w:p>
    <w:p>
      <w:r>
        <w:rPr>
          <w:b/>
        </w:rPr>
        <w:t xml:space="preserve">Art. 12 Publikationsorgan </w:t>
      </w:r>
      <w:r>
        <w:t>Publikationsorgan der Gesellschaft ist das Schweizerische Handelsamtsblatt (SHAB).</w:t>
      </w:r>
    </w:p>
    <w:p/>
    <w:p>
      <w:r>
        <w:t>Ort, Datum: ____________________    Unterschrift(en) Gesellschafter/in(nen): ____________________</w:t>
      </w:r>
    </w:p>
    <w:sectPr w:rsidR="00FC693F" w:rsidRPr="0006063C" w:rsidSect="00034616">
      <w:pgSz w:w="12240" w:h="15840"/>
      <w:pgMar w:top="1440" w:right="1247" w:bottom="1440"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