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00"/>
        <w:jc w:val="center"/>
      </w:pPr>
      <w:r>
        <w:rPr>
          <w:b/>
          <w:color w:val="1F3864"/>
          <w:sz w:val="48"/>
        </w:rPr>
        <w:t>GRÜNDERVEREINBARUNG</w:t>
      </w:r>
    </w:p>
    <w:p>
      <w:pPr>
        <w:jc w:val="center"/>
      </w:pPr>
      <w:r>
        <w:rPr>
          <w:color w:val="4472C4"/>
          <w:sz w:val="26"/>
        </w:rPr>
        <w:t>Vorlage – KMU Navigation</w:t>
      </w:r>
    </w:p>
    <w:p/>
    <w:tbl>
      <w:tblPr>
        <w:tblW w:type="auto" w:w="0"/>
        <w:tblLook w:firstColumn="1" w:firstRow="1" w:lastColumn="0" w:lastRow="0" w:noHBand="0" w:noVBand="1" w:val="04A0"/>
      </w:tblPr>
      <w:tblGrid>
        <w:gridCol w:w="9746"/>
      </w:tblGrid>
      <w:tr>
        <w:tc>
          <w:tcPr>
            <w:tcW w:type="dxa" w:w="9746"/>
            <w:shd w:val="clear" w:color="auto" w:fill="FBE9E7"/>
          </w:tcPr>
          <w:p>
            <w:r>
              <w:rPr>
                <w:b/>
                <w:color w:val="B23A2E"/>
                <w:sz w:val="20"/>
              </w:rPr>
              <w:t>WICHTIGER HINWEIS: Diese Vereinbarung regelt das Verhältnis UNTER den Gründer/innen persönlich – sie ersetzt nicht die Statuten bzw. den Gesellschaftervertrag der Gesellschaft selbst (siehe separate Vorlage «Statuten &amp; Gesellschaftervertrag»). MUSTER ohne Gewähr; vor Unterzeichnung durch eine Rechtsfachperson prüfen und an Ihre Situation anpassen lassen.</w:t>
            </w:r>
          </w:p>
        </w:tc>
      </w:tr>
    </w:tbl>
    <w:p/>
    <w:p>
      <w:r>
        <w:t>zwischen</w:t>
      </w:r>
    </w:p>
    <w:p>
      <w:r>
        <w:t>[Name Gründer/in 1], [Adresse]  («Partei 1»)</w:t>
      </w:r>
    </w:p>
    <w:p>
      <w:r>
        <w:t>und</w:t>
      </w:r>
    </w:p>
    <w:p>
      <w:r>
        <w:t>[Name Gründer/in 2], [Adresse]  («Partei 2»)</w:t>
      </w:r>
    </w:p>
    <w:p>
      <w:r>
        <w:t>[weitere Parteien nach Bedarf ergänzen]</w:t>
      </w:r>
    </w:p>
    <w:p>
      <w:r>
        <w:t>— gemeinsam die «Parteien» —</w:t>
      </w:r>
    </w:p>
    <w:p>
      <w:r>
        <w:t>betreffend die gemeinsame Gründung und den Betrieb der [Firmenname] ([Rechtsform]) (die «Gesellschaft»).</w:t>
      </w:r>
    </w:p>
    <w:p>
      <w:r>
        <w:br w:type="page"/>
      </w:r>
    </w:p>
    <w:p>
      <w:pPr>
        <w:pStyle w:val="Heading1"/>
      </w:pPr>
      <w:r>
        <w:t>§ 1 Zweck der Vereinbarung</w:t>
      </w:r>
    </w:p>
    <w:p>
      <w:r>
        <w:t>Diese Vereinbarung regelt die Zusammenarbeit der Parteien bei der Gründung und dem Aufbau der Gesellschaft, insbesondere Rollen, Beteiligung, Entscheidungsfindung und den Umgang mit dem Ausscheiden einer Partei. Sie geht im Innenverhältnis den Statuten vor, soweit gesetzlich zulässig.</w:t>
      </w:r>
    </w:p>
    <w:p>
      <w:pPr>
        <w:pStyle w:val="Heading1"/>
      </w:pPr>
      <w:r>
        <w:t>§ 2 Rollen und Arbeitspensum</w:t>
      </w:r>
    </w:p>
    <w:tbl>
      <w:tblPr>
        <w:tblStyle w:val="LightGrid-Accent1"/>
        <w:tblW w:type="auto" w:w="0"/>
        <w:tblLook w:firstColumn="1" w:firstRow="1" w:lastColumn="0" w:lastRow="0" w:noHBand="0" w:noVBand="1" w:val="04A0"/>
      </w:tblPr>
      <w:tblGrid>
        <w:gridCol w:w="3249"/>
        <w:gridCol w:w="3249"/>
        <w:gridCol w:w="3249"/>
      </w:tblGrid>
      <w:tr>
        <w:tc>
          <w:tcPr>
            <w:tcW w:type="dxa" w:w="3249"/>
          </w:tcPr>
          <w:p>
            <w:r>
              <w:t>Partei</w:t>
            </w:r>
          </w:p>
        </w:tc>
        <w:tc>
          <w:tcPr>
            <w:tcW w:type="dxa" w:w="3249"/>
          </w:tcPr>
          <w:p>
            <w:r>
              <w:t>Rolle / Zuständigkeit</w:t>
            </w:r>
          </w:p>
        </w:tc>
        <w:tc>
          <w:tcPr>
            <w:tcW w:type="dxa" w:w="3249"/>
          </w:tcPr>
          <w:p>
            <w:r>
              <w:t>Arbeitspensum</w:t>
            </w:r>
          </w:p>
        </w:tc>
      </w:tr>
      <w:tr>
        <w:tc>
          <w:tcPr>
            <w:tcW w:type="dxa" w:w="3249"/>
          </w:tcPr>
          <w:p>
            <w:r>
              <w:t>[Name]</w:t>
            </w:r>
          </w:p>
        </w:tc>
        <w:tc>
          <w:tcPr>
            <w:tcW w:type="dxa" w:w="3249"/>
          </w:tcPr>
          <w:p>
            <w:r>
              <w:t>[z. B. Geschäftsführung / Produktion / Verkauf]</w:t>
            </w:r>
          </w:p>
        </w:tc>
        <w:tc>
          <w:tcPr>
            <w:tcW w:type="dxa" w:w="3249"/>
          </w:tcPr>
          <w:p>
            <w:r>
              <w:t>[%]</w:t>
            </w:r>
          </w:p>
        </w:tc>
      </w:tr>
      <w:tr>
        <w:tc>
          <w:tcPr>
            <w:tcW w:type="dxa" w:w="3249"/>
          </w:tcPr>
          <w:p>
            <w:r>
              <w:t>[Name]</w:t>
            </w:r>
          </w:p>
        </w:tc>
        <w:tc>
          <w:tcPr>
            <w:tcW w:type="dxa" w:w="3249"/>
          </w:tcPr>
          <w:p>
            <w:r>
              <w:t>[z. B. Geschäftsführung / Produktion / Verkauf]</w:t>
            </w:r>
          </w:p>
        </w:tc>
        <w:tc>
          <w:tcPr>
            <w:tcW w:type="dxa" w:w="3249"/>
          </w:tcPr>
          <w:p>
            <w:r>
              <w:t>[%]</w:t>
            </w:r>
          </w:p>
        </w:tc>
      </w:tr>
    </w:tbl>
    <w:p/>
    <w:p>
      <w:r>
        <w:t>Änderungen an Rollen oder Pensum bedürfen der schriftlichen Zustimmung aller Parteien.</w:t>
      </w:r>
    </w:p>
    <w:p>
      <w:pPr>
        <w:pStyle w:val="Heading1"/>
      </w:pPr>
      <w:r>
        <w:t>§ 3 Kapitalbeteiligung und Vesting</w:t>
      </w:r>
    </w:p>
    <w:p>
      <w:r>
        <w:rPr>
          <w:b/>
        </w:rPr>
        <w:t xml:space="preserve">3.1 </w:t>
      </w:r>
      <w:r>
        <w:t>Die Kapital- bzw. Stimmenanteile der Parteien an der Gesellschaft betragen: [Partei 1: __%, Partei 2: __%, …].</w:t>
      </w:r>
    </w:p>
    <w:p>
      <w:r>
        <w:rPr>
          <w:b/>
        </w:rPr>
        <w:t xml:space="preserve">3.2 Vesting (optional) </w:t>
      </w:r>
      <w:r>
        <w:t>Die Anteile einer Partei gelten erst nach folgendem Zeitplan als vollständig «verdient» (Vesting): [z. B. 25 % nach 12 Monaten («Cliff»), danach monatlich anteilig über insgesamt 48 Monate]. Scheidet eine Partei vor Ablauf der Vesting-Periode aus, verbleiben ihr nur die bereits verdienten Anteile; die übrigen Anteile fallen an die Gesellschaft bzw. die verbleibenden Parteien zurück (siehe § 6 Leaver-Regelung).</w:t>
      </w:r>
    </w:p>
    <w:p>
      <w:pPr>
        <w:pStyle w:val="Heading1"/>
      </w:pPr>
      <w:r>
        <w:t>§ 4 Beschlussfassung unter den Gründer/innen</w:t>
      </w:r>
    </w:p>
    <w:p>
      <w:r>
        <w:t>Für folgende Entscheide ist die Zustimmung aller Parteien erforderlich, unabhängig von den gesellschaftsrechtlichen Mehrheiten: Aufnahme neuer Gesellschafter/innen, Aufnahme von Fremd- oder Beteiligungskapital über CHF [Betrag], wesentliche Änderung des Geschäftszwecks, Verkauf wesentlicher Vermögenswerte, Auflösung der Gesellschaft. Bei Uneinigkeit gilt das Vorgehen gemäss § 8 (Streitbeilegung).</w:t>
      </w:r>
    </w:p>
    <w:p>
      <w:pPr>
        <w:pStyle w:val="Heading1"/>
      </w:pPr>
      <w:r>
        <w:t>§ 5 Wettbewerbsverbot und Geheimhaltung</w:t>
      </w:r>
    </w:p>
    <w:p>
      <w:r>
        <w:rPr>
          <w:b/>
        </w:rPr>
        <w:t xml:space="preserve">5.1 Wettbewerbsverbot </w:t>
      </w:r>
      <w:r>
        <w:t>Während der Dauer dieser Vereinbarung und für [z. B. 12 Monate] nach dem Ausscheiden einer Partei unterlässt diese jede direkte oder indirekte Konkurrenztätigkeit zur Gesellschaft.</w:t>
      </w:r>
    </w:p>
    <w:p>
      <w:r>
        <w:rPr>
          <w:b/>
        </w:rPr>
        <w:t xml:space="preserve">5.2 Geheimhaltung </w:t>
      </w:r>
      <w:r>
        <w:t>Die Parteien behandeln alle geschäftlichen und technischen Informationen der Gesellschaft vertraulich, auch nach ihrem Ausscheiden.</w:t>
      </w:r>
    </w:p>
    <w:p>
      <w:pPr>
        <w:pStyle w:val="Heading1"/>
      </w:pPr>
      <w:r>
        <w:t>§ 6 Ausscheiden einer Partei (Leaver-Regelung)</w:t>
      </w:r>
    </w:p>
    <w:p>
      <w:r>
        <w:rPr>
          <w:b/>
        </w:rPr>
        <w:t xml:space="preserve">6.1 Good Leaver </w:t>
      </w:r>
      <w:r>
        <w:t>Scheidet eine Partei aus wichtigem, nicht selbstverschuldetem Grund aus (z. B. Krankheit, Invalidität, einvernehmliche Trennung), behält sie ihre gemäss § 3.2 bereits verdienten Anteile und erhält für diese eine Entschädigung zum Verkehrswert.</w:t>
      </w:r>
    </w:p>
    <w:p>
      <w:r>
        <w:rPr>
          <w:b/>
        </w:rPr>
        <w:t xml:space="preserve">6.2 Bad Leaver </w:t>
      </w:r>
      <w:r>
        <w:t>Scheidet eine Partei aus eigenem Verschulden aus (z. B. grober Pflichtverstoss, Verletzung des Wettbewerbsverbots) oder kündigt sie ohne wichtigen Grund vorzeitig, verringert sich der Rückkaufpreis ihrer Anteile auf [z. B. den Nominalwert bzw. einen im Voraus definierten reduzierten Wert].</w:t>
      </w:r>
    </w:p>
    <w:p>
      <w:r>
        <w:rPr>
          <w:b/>
        </w:rPr>
        <w:t xml:space="preserve">6.3 Andienungspflicht </w:t>
      </w:r>
      <w:r>
        <w:t>Eine ausscheidende Partei ist verpflichtet, ihre Anteile den verbleibenden Parteien bzw. der Gesellschaft zum Kauf anzubieten («Vinkulierung»), bevor sie an Dritte veräussert werden dürfen.</w:t>
      </w:r>
    </w:p>
    <w:p>
      <w:pPr>
        <w:pStyle w:val="Heading1"/>
      </w:pPr>
      <w:r>
        <w:t>§ 7 Übertragung von geistigem Eigentum (IP)</w:t>
      </w:r>
    </w:p>
    <w:p>
      <w:r>
        <w:t>Alle im Zusammenhang mit der Geschäftstätigkeit entwickelten Arbeitsergebnisse, Erfindungen, Software, Marken und sonstigen Schutzrechte werden – soweit gesetzlich möglich – auf die Gesellschaft übertragen, unabhängig davon, welche Partei sie geschaffen hat.</w:t>
      </w:r>
    </w:p>
    <w:p>
      <w:pPr>
        <w:pStyle w:val="Heading1"/>
      </w:pPr>
      <w:r>
        <w:t>§ 8 Streitbeilegung</w:t>
      </w:r>
    </w:p>
    <w:p>
      <w:r>
        <w:t>Bei Uneinigkeit versuchen die Parteien zunächst eine einvernehmliche Lösung, allenfalls unter Beizug einer neutralen Vermittlungsperson (Mediation). Kommt keine Einigung zustande, gilt [Schiedsklausel oder ordentlicher Rechtsweg am Sitz der Gesellschaft einfügen].</w:t>
      </w:r>
    </w:p>
    <w:p>
      <w:pPr>
        <w:pStyle w:val="Heading1"/>
      </w:pPr>
      <w:r>
        <w:t>§ 9 Schlussbestimmungen</w:t>
      </w:r>
    </w:p>
    <w:p>
      <w:r>
        <w:rPr>
          <w:b/>
        </w:rPr>
        <w:t xml:space="preserve">9.1 Verhältnis zu den Statuten </w:t>
      </w:r>
      <w:r>
        <w:t>Bei Widersprüchen zwischen dieser Vereinbarung und den Statuten/dem Gesellschaftervertrag geht diese Vereinbarung im Innenverhältnis zwischen den Parteien vor; im Verhältnis zu Dritten und gegenüber dem Handelsregister gelten die Statuten.</w:t>
      </w:r>
    </w:p>
    <w:p>
      <w:r>
        <w:rPr>
          <w:b/>
        </w:rPr>
        <w:t xml:space="preserve">9.2 Änderungen </w:t>
      </w:r>
      <w:r>
        <w:t>Änderungen dieser Vereinbarung bedürfen der Schriftform und der Zustimmung aller Parteien.</w:t>
      </w:r>
    </w:p>
    <w:p>
      <w:r>
        <w:rPr>
          <w:b/>
        </w:rPr>
        <w:t xml:space="preserve">9.3 Anwendbares Recht </w:t>
      </w:r>
      <w:r>
        <w:t>Diese Vereinbarung untersteht schweizerischem Recht.</w:t>
      </w:r>
    </w:p>
    <w:p/>
    <w:p>
      <w:r>
        <w:t>Ort, Datum: ____________________</w:t>
      </w:r>
    </w:p>
    <w:p/>
    <w:tbl>
      <w:tblPr>
        <w:tblW w:type="auto" w:w="0"/>
        <w:tblLook w:firstColumn="1" w:firstRow="1" w:lastColumn="0" w:lastRow="0" w:noHBand="0" w:noVBand="1" w:val="04A0"/>
      </w:tblPr>
      <w:tblGrid>
        <w:gridCol w:w="4873"/>
        <w:gridCol w:w="4873"/>
      </w:tblGrid>
      <w:tr>
        <w:tc>
          <w:tcPr>
            <w:tcW w:type="dxa" w:w="4873"/>
          </w:tcPr>
          <w:p>
            <w:r>
              <w:t>Unterschrift Partei 1: ____________________</w:t>
            </w:r>
          </w:p>
        </w:tc>
        <w:tc>
          <w:tcPr>
            <w:tcW w:type="dxa" w:w="4873"/>
          </w:tcPr>
          <w:p>
            <w:r>
              <w:t>Unterschrift Partei 2: ____________________</w:t>
            </w:r>
          </w:p>
        </w:tc>
      </w:tr>
    </w:tbl>
    <w:sectPr w:rsidR="00FC693F" w:rsidRPr="0006063C" w:rsidSect="00034616">
      <w:pgSz w:w="12240" w:h="15840"/>
      <w:pgMar w:top="1440" w:right="1247" w:bottom="1440"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