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9526" w14:textId="77777777" w:rsidR="00646220" w:rsidRDefault="00000000">
      <w:pPr>
        <w:spacing w:after="80"/>
      </w:pPr>
      <w:r>
        <w:rPr>
          <w:b/>
          <w:bCs/>
          <w:color w:val="2E75B6"/>
          <w:sz w:val="20"/>
          <w:szCs w:val="20"/>
        </w:rPr>
        <w:t>G-</w:t>
      </w:r>
      <w:proofErr w:type="gramStart"/>
      <w:r>
        <w:rPr>
          <w:b/>
          <w:bCs/>
          <w:color w:val="2E75B6"/>
          <w:sz w:val="20"/>
          <w:szCs w:val="20"/>
        </w:rPr>
        <w:t>01  |</w:t>
      </w:r>
      <w:proofErr w:type="gramEnd"/>
      <w:r>
        <w:rPr>
          <w:b/>
          <w:bCs/>
          <w:color w:val="2E75B6"/>
          <w:sz w:val="20"/>
          <w:szCs w:val="20"/>
        </w:rPr>
        <w:t xml:space="preserve">  AKTIONÄRBINDUNGSVERTRAG</w:t>
      </w:r>
    </w:p>
    <w:p w14:paraId="1A7ABFC1" w14:textId="77777777" w:rsidR="00646220" w:rsidRDefault="00000000">
      <w:pPr>
        <w:pStyle w:val="Titel"/>
        <w:spacing w:after="80"/>
      </w:pPr>
      <w:proofErr w:type="spellStart"/>
      <w:r>
        <w:t>Aktionärbindungsvertrag</w:t>
      </w:r>
      <w:proofErr w:type="spellEnd"/>
    </w:p>
    <w:p w14:paraId="721B06A2" w14:textId="77777777" w:rsidR="00646220" w:rsidRDefault="00000000">
      <w:pPr>
        <w:pStyle w:val="Untertitel"/>
        <w:spacing w:after="240"/>
      </w:pPr>
      <w:r>
        <w:t>Vereinbarung unter den Aktionären einer Aktiengesellschaft</w:t>
      </w:r>
    </w:p>
    <w:p w14:paraId="11DA658C" w14:textId="77777777" w:rsidR="00646220" w:rsidRDefault="00646220">
      <w:pPr>
        <w:pBdr>
          <w:bottom w:val="single" w:sz="12" w:space="4" w:color="1F4E79"/>
        </w:pBdr>
        <w:spacing w:after="360"/>
      </w:pPr>
    </w:p>
    <w:p w14:paraId="02766688" w14:textId="77777777" w:rsidR="00646220" w:rsidRDefault="00000000">
      <w:pPr>
        <w:pStyle w:val="berschrift1"/>
      </w:pPr>
      <w:r>
        <w:t>Parteien</w:t>
      </w:r>
    </w:p>
    <w:p w14:paraId="13482B80" w14:textId="77777777" w:rsidR="00646220" w:rsidRDefault="00000000">
      <w:pPr>
        <w:spacing w:before="60" w:after="60"/>
        <w:jc w:val="both"/>
      </w:pPr>
      <w:r>
        <w:t>zwischen</w:t>
      </w:r>
    </w:p>
    <w:p w14:paraId="52B99AE7" w14:textId="77777777" w:rsidR="00646220" w:rsidRDefault="00000000">
      <w:pPr>
        <w:spacing w:before="60" w:after="60"/>
        <w:jc w:val="both"/>
      </w:pPr>
      <w:r>
        <w:rPr>
          <w:b/>
          <w:bCs/>
          <w:color w:val="C00000"/>
          <w:highlight w:val="yellow"/>
        </w:rPr>
        <w:t>[Name Aktionär 1]</w:t>
      </w:r>
      <w:r>
        <w:t xml:space="preserve">, wohnhaft/mit Sitz an </w:t>
      </w:r>
      <w:r>
        <w:rPr>
          <w:b/>
          <w:bCs/>
          <w:color w:val="C00000"/>
          <w:highlight w:val="yellow"/>
        </w:rPr>
        <w:t>[Adresse]</w:t>
      </w:r>
      <w:r>
        <w:t xml:space="preserve"> (nachfolgend „</w:t>
      </w:r>
      <w:r>
        <w:rPr>
          <w:b/>
          <w:bCs/>
        </w:rPr>
        <w:t>Aktionär A</w:t>
      </w:r>
      <w:r>
        <w:t>"),</w:t>
      </w:r>
    </w:p>
    <w:p w14:paraId="357872C0" w14:textId="77777777" w:rsidR="00646220" w:rsidRDefault="00000000">
      <w:pPr>
        <w:spacing w:before="60" w:after="60"/>
        <w:jc w:val="both"/>
      </w:pPr>
      <w:r>
        <w:rPr>
          <w:b/>
          <w:bCs/>
          <w:color w:val="C00000"/>
          <w:highlight w:val="yellow"/>
        </w:rPr>
        <w:t>[Name Aktionär 2]</w:t>
      </w:r>
      <w:r>
        <w:t xml:space="preserve">, wohnhaft/mit Sitz an </w:t>
      </w:r>
      <w:r>
        <w:rPr>
          <w:b/>
          <w:bCs/>
          <w:color w:val="C00000"/>
          <w:highlight w:val="yellow"/>
        </w:rPr>
        <w:t>[Adresse]</w:t>
      </w:r>
      <w:r>
        <w:t xml:space="preserve"> (nachfolgend „</w:t>
      </w:r>
      <w:r>
        <w:rPr>
          <w:b/>
          <w:bCs/>
        </w:rPr>
        <w:t>Aktionär B</w:t>
      </w:r>
      <w:r>
        <w:t>"),</w:t>
      </w:r>
    </w:p>
    <w:p w14:paraId="68D6F9A1" w14:textId="77777777" w:rsidR="00646220" w:rsidRDefault="00000000">
      <w:pPr>
        <w:spacing w:before="60" w:after="60"/>
        <w:jc w:val="both"/>
      </w:pPr>
      <w:r>
        <w:t>(weitere Aktionäre ergänzen oder Abschnitt anpassen)</w:t>
      </w:r>
    </w:p>
    <w:p w14:paraId="1A337314" w14:textId="77777777" w:rsidR="00646220" w:rsidRDefault="00000000">
      <w:pPr>
        <w:spacing w:before="60" w:after="60"/>
        <w:jc w:val="both"/>
      </w:pPr>
      <w:r>
        <w:t>und</w:t>
      </w:r>
    </w:p>
    <w:p w14:paraId="42D274B9" w14:textId="77777777" w:rsidR="00646220" w:rsidRDefault="00000000">
      <w:pPr>
        <w:spacing w:before="60" w:after="60"/>
        <w:jc w:val="both"/>
      </w:pPr>
      <w:r>
        <w:rPr>
          <w:b/>
          <w:bCs/>
          <w:color w:val="C00000"/>
          <w:highlight w:val="yellow"/>
        </w:rPr>
        <w:t>[Firmenname AG]</w:t>
      </w:r>
      <w:r>
        <w:t xml:space="preserve">, mit Sitz in </w:t>
      </w:r>
      <w:r>
        <w:rPr>
          <w:b/>
          <w:bCs/>
          <w:color w:val="C00000"/>
          <w:highlight w:val="yellow"/>
        </w:rPr>
        <w:t>[Ort]</w:t>
      </w:r>
      <w:r>
        <w:t xml:space="preserve"> (nachfolgend „</w:t>
      </w:r>
      <w:r>
        <w:rPr>
          <w:b/>
          <w:bCs/>
        </w:rPr>
        <w:t>Gesellschaft</w:t>
      </w:r>
      <w:r>
        <w:t>"),</w:t>
      </w:r>
    </w:p>
    <w:p w14:paraId="1ED4A85D" w14:textId="77777777" w:rsidR="00646220" w:rsidRDefault="00000000">
      <w:pPr>
        <w:spacing w:before="60" w:after="60"/>
        <w:jc w:val="both"/>
      </w:pPr>
      <w:r>
        <w:rPr>
          <w:i/>
          <w:iCs/>
        </w:rPr>
        <w:t>– die Aktionäre gemeinsam nachfolgend „Parteien" –</w:t>
      </w:r>
    </w:p>
    <w:p w14:paraId="5F4BB261" w14:textId="77777777" w:rsidR="00646220" w:rsidRDefault="00000000">
      <w:pPr>
        <w:spacing w:before="280" w:after="120"/>
      </w:pPr>
      <w:r>
        <w:rPr>
          <w:b/>
          <w:bCs/>
          <w:color w:val="1F4E79"/>
          <w:sz w:val="24"/>
          <w:szCs w:val="24"/>
        </w:rPr>
        <w:t xml:space="preserve">Art. </w:t>
      </w:r>
      <w:proofErr w:type="gramStart"/>
      <w:r>
        <w:rPr>
          <w:b/>
          <w:bCs/>
          <w:color w:val="1F4E79"/>
          <w:sz w:val="24"/>
          <w:szCs w:val="24"/>
        </w:rPr>
        <w:t>1  Zweck</w:t>
      </w:r>
      <w:proofErr w:type="gramEnd"/>
      <w:r>
        <w:rPr>
          <w:b/>
          <w:bCs/>
          <w:color w:val="1F4E79"/>
          <w:sz w:val="24"/>
          <w:szCs w:val="24"/>
        </w:rPr>
        <w:t xml:space="preserve"> des Vertrags</w:t>
      </w:r>
    </w:p>
    <w:p w14:paraId="76070EB9" w14:textId="77777777" w:rsidR="00646220" w:rsidRDefault="00000000">
      <w:pPr>
        <w:spacing w:before="60" w:after="60"/>
        <w:jc w:val="both"/>
      </w:pPr>
      <w:r>
        <w:t>Die Parteien sind Aktionäre der Gesellschaft. Dieser Vertrag regelt das Verhältnis der Aktionäre untereinander und ihre Beziehung zur Gesellschaft, insbesondere Übertragung von Aktien, Stimmrechtsausübung, Finanzierung sowie das Verhalten bei Streitfällen.</w:t>
      </w:r>
    </w:p>
    <w:p w14:paraId="07CCC719" w14:textId="77777777" w:rsidR="00646220" w:rsidRDefault="00000000">
      <w:pPr>
        <w:spacing w:before="280" w:after="120"/>
      </w:pPr>
      <w:r>
        <w:rPr>
          <w:b/>
          <w:bCs/>
          <w:color w:val="1F4E79"/>
          <w:sz w:val="24"/>
          <w:szCs w:val="24"/>
        </w:rPr>
        <w:t xml:space="preserve">Art. </w:t>
      </w:r>
      <w:proofErr w:type="gramStart"/>
      <w:r>
        <w:rPr>
          <w:b/>
          <w:bCs/>
          <w:color w:val="1F4E79"/>
          <w:sz w:val="24"/>
          <w:szCs w:val="24"/>
        </w:rPr>
        <w:t>2  Aktienkapital</w:t>
      </w:r>
      <w:proofErr w:type="gramEnd"/>
      <w:r>
        <w:rPr>
          <w:b/>
          <w:bCs/>
          <w:color w:val="1F4E79"/>
          <w:sz w:val="24"/>
          <w:szCs w:val="24"/>
        </w:rPr>
        <w:t xml:space="preserve"> und Beteiligungen</w:t>
      </w:r>
    </w:p>
    <w:p w14:paraId="55FEAF2C" w14:textId="77777777" w:rsidR="00646220" w:rsidRDefault="00000000">
      <w:pPr>
        <w:spacing w:before="60" w:after="60"/>
        <w:jc w:val="both"/>
      </w:pPr>
      <w:r>
        <w:t>Das Aktienkapital der Gesellschaft beträgt derzeit CHF [Aktienkapital] und ist eingeteilt in [Anzahl] Namenaktien mit einem Nennwert von je CHF [Nennwert].</w:t>
      </w:r>
    </w:p>
    <w:p w14:paraId="26930174" w14:textId="77777777" w:rsidR="00646220" w:rsidRDefault="00000000">
      <w:pPr>
        <w:spacing w:before="60" w:after="60"/>
        <w:jc w:val="both"/>
      </w:pPr>
      <w:r>
        <w:t>Die Aktien verteilen sich wie folgt:</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800"/>
        <w:gridCol w:w="1800"/>
        <w:gridCol w:w="1820"/>
      </w:tblGrid>
      <w:tr w:rsidR="00646220" w14:paraId="2B757D6D" w14:textId="77777777">
        <w:tblPrEx>
          <w:tblCellMar>
            <w:top w:w="0" w:type="dxa"/>
            <w:bottom w:w="0" w:type="dxa"/>
          </w:tblCellMar>
        </w:tblPrEx>
        <w:tc>
          <w:tcPr>
            <w:tcW w:w="3600" w:type="dxa"/>
            <w:tcBorders>
              <w:top w:val="single" w:sz="4" w:space="0" w:color="1F4E79"/>
              <w:left w:val="single" w:sz="2" w:space="0" w:color="1F4E79"/>
              <w:bottom w:val="single" w:sz="4" w:space="0" w:color="1F4E79"/>
              <w:right w:val="single" w:sz="2" w:space="0" w:color="1F4E79"/>
            </w:tcBorders>
            <w:shd w:val="clear" w:color="auto" w:fill="1F4E79"/>
            <w:tcMar>
              <w:top w:w="80" w:type="dxa"/>
              <w:left w:w="120" w:type="dxa"/>
              <w:bottom w:w="80" w:type="dxa"/>
              <w:right w:w="120" w:type="dxa"/>
            </w:tcMar>
          </w:tcPr>
          <w:p w14:paraId="70AB8A24" w14:textId="77777777" w:rsidR="00646220" w:rsidRDefault="00000000">
            <w:r>
              <w:rPr>
                <w:b/>
                <w:bCs/>
                <w:color w:val="FFFFFF"/>
              </w:rPr>
              <w:t>Aktionär</w:t>
            </w:r>
          </w:p>
        </w:tc>
        <w:tc>
          <w:tcPr>
            <w:tcW w:w="1800" w:type="dxa"/>
            <w:tcBorders>
              <w:top w:val="single" w:sz="4" w:space="0" w:color="1F4E79"/>
              <w:left w:val="single" w:sz="2" w:space="0" w:color="1F4E79"/>
              <w:bottom w:val="single" w:sz="4" w:space="0" w:color="1F4E79"/>
              <w:right w:val="single" w:sz="2" w:space="0" w:color="1F4E79"/>
            </w:tcBorders>
            <w:shd w:val="clear" w:color="auto" w:fill="1F4E79"/>
            <w:tcMar>
              <w:top w:w="80" w:type="dxa"/>
              <w:left w:w="120" w:type="dxa"/>
              <w:bottom w:w="80" w:type="dxa"/>
              <w:right w:w="120" w:type="dxa"/>
            </w:tcMar>
          </w:tcPr>
          <w:p w14:paraId="7FDF8075" w14:textId="77777777" w:rsidR="00646220" w:rsidRDefault="00000000">
            <w:r>
              <w:rPr>
                <w:b/>
                <w:bCs/>
                <w:color w:val="FFFFFF"/>
              </w:rPr>
              <w:t>Anzahl Aktien</w:t>
            </w:r>
          </w:p>
        </w:tc>
        <w:tc>
          <w:tcPr>
            <w:tcW w:w="1800" w:type="dxa"/>
            <w:tcBorders>
              <w:top w:val="single" w:sz="4" w:space="0" w:color="1F4E79"/>
              <w:left w:val="single" w:sz="2" w:space="0" w:color="1F4E79"/>
              <w:bottom w:val="single" w:sz="4" w:space="0" w:color="1F4E79"/>
              <w:right w:val="single" w:sz="2" w:space="0" w:color="1F4E79"/>
            </w:tcBorders>
            <w:shd w:val="clear" w:color="auto" w:fill="1F4E79"/>
            <w:tcMar>
              <w:top w:w="80" w:type="dxa"/>
              <w:left w:w="120" w:type="dxa"/>
              <w:bottom w:w="80" w:type="dxa"/>
              <w:right w:w="120" w:type="dxa"/>
            </w:tcMar>
          </w:tcPr>
          <w:p w14:paraId="3C501299" w14:textId="77777777" w:rsidR="00646220" w:rsidRDefault="00000000">
            <w:r>
              <w:rPr>
                <w:b/>
                <w:bCs/>
                <w:color w:val="FFFFFF"/>
              </w:rPr>
              <w:t>Nennwert CHF</w:t>
            </w:r>
          </w:p>
        </w:tc>
        <w:tc>
          <w:tcPr>
            <w:tcW w:w="1820" w:type="dxa"/>
            <w:tcBorders>
              <w:top w:val="single" w:sz="4" w:space="0" w:color="1F4E79"/>
              <w:left w:val="single" w:sz="2" w:space="0" w:color="1F4E79"/>
              <w:bottom w:val="single" w:sz="4" w:space="0" w:color="1F4E79"/>
              <w:right w:val="single" w:sz="2" w:space="0" w:color="1F4E79"/>
            </w:tcBorders>
            <w:shd w:val="clear" w:color="auto" w:fill="1F4E79"/>
            <w:tcMar>
              <w:top w:w="80" w:type="dxa"/>
              <w:left w:w="120" w:type="dxa"/>
              <w:bottom w:w="80" w:type="dxa"/>
              <w:right w:w="120" w:type="dxa"/>
            </w:tcMar>
          </w:tcPr>
          <w:p w14:paraId="66E6486D" w14:textId="77777777" w:rsidR="00646220" w:rsidRDefault="00000000">
            <w:r>
              <w:rPr>
                <w:b/>
                <w:bCs/>
                <w:color w:val="FFFFFF"/>
              </w:rPr>
              <w:t>Anteil %</w:t>
            </w:r>
          </w:p>
        </w:tc>
      </w:tr>
      <w:tr w:rsidR="00646220" w14:paraId="05DAA943" w14:textId="77777777">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555993CA" w14:textId="77777777" w:rsidR="00646220" w:rsidRDefault="00000000">
            <w:r>
              <w:rPr>
                <w:color w:val="C00000"/>
                <w:highlight w:val="yellow"/>
              </w:rPr>
              <w:t>[Aktionär A]</w:t>
            </w:r>
          </w:p>
        </w:tc>
        <w:tc>
          <w:tcPr>
            <w:tcW w:w="18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68879A60" w14:textId="77777777" w:rsidR="00646220" w:rsidRDefault="00000000">
            <w:r>
              <w:rPr>
                <w:color w:val="C00000"/>
                <w:highlight w:val="yellow"/>
              </w:rPr>
              <w:t>[Anzahl]</w:t>
            </w:r>
          </w:p>
        </w:tc>
        <w:tc>
          <w:tcPr>
            <w:tcW w:w="18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353A4797" w14:textId="77777777" w:rsidR="00646220" w:rsidRDefault="00000000">
            <w:r>
              <w:rPr>
                <w:color w:val="C00000"/>
                <w:highlight w:val="yellow"/>
              </w:rPr>
              <w:t>[Betrag]</w:t>
            </w:r>
          </w:p>
        </w:tc>
        <w:tc>
          <w:tcPr>
            <w:tcW w:w="182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17D94938" w14:textId="77777777" w:rsidR="00646220" w:rsidRDefault="00000000">
            <w:r>
              <w:rPr>
                <w:color w:val="C00000"/>
                <w:highlight w:val="yellow"/>
              </w:rPr>
              <w:t>[%]</w:t>
            </w:r>
          </w:p>
        </w:tc>
      </w:tr>
      <w:tr w:rsidR="00646220" w14:paraId="2EFA7DB5" w14:textId="77777777">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309C207E" w14:textId="77777777" w:rsidR="00646220" w:rsidRDefault="00000000">
            <w:r>
              <w:rPr>
                <w:color w:val="C00000"/>
                <w:highlight w:val="yellow"/>
              </w:rPr>
              <w:t>[Aktionär B]</w:t>
            </w:r>
          </w:p>
        </w:tc>
        <w:tc>
          <w:tcPr>
            <w:tcW w:w="18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7097619B" w14:textId="77777777" w:rsidR="00646220" w:rsidRDefault="00000000">
            <w:r>
              <w:rPr>
                <w:color w:val="C00000"/>
                <w:highlight w:val="yellow"/>
              </w:rPr>
              <w:t>[Anzahl]</w:t>
            </w:r>
          </w:p>
        </w:tc>
        <w:tc>
          <w:tcPr>
            <w:tcW w:w="18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7A885D5C" w14:textId="77777777" w:rsidR="00646220" w:rsidRDefault="00000000">
            <w:r>
              <w:rPr>
                <w:color w:val="C00000"/>
                <w:highlight w:val="yellow"/>
              </w:rPr>
              <w:t>[Betrag]</w:t>
            </w:r>
          </w:p>
        </w:tc>
        <w:tc>
          <w:tcPr>
            <w:tcW w:w="182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14:paraId="5C727B8B" w14:textId="77777777" w:rsidR="00646220" w:rsidRDefault="00000000">
            <w:r>
              <w:rPr>
                <w:color w:val="C00000"/>
                <w:highlight w:val="yellow"/>
              </w:rPr>
              <w:t>[%]</w:t>
            </w:r>
          </w:p>
        </w:tc>
      </w:tr>
    </w:tbl>
    <w:p w14:paraId="5AB5460B" w14:textId="77777777" w:rsidR="00646220" w:rsidRDefault="00000000">
      <w:pPr>
        <w:spacing w:before="280" w:after="120"/>
      </w:pPr>
      <w:r>
        <w:rPr>
          <w:b/>
          <w:bCs/>
          <w:color w:val="1F4E79"/>
          <w:sz w:val="24"/>
          <w:szCs w:val="24"/>
        </w:rPr>
        <w:t xml:space="preserve">Art. </w:t>
      </w:r>
      <w:proofErr w:type="gramStart"/>
      <w:r>
        <w:rPr>
          <w:b/>
          <w:bCs/>
          <w:color w:val="1F4E79"/>
          <w:sz w:val="24"/>
          <w:szCs w:val="24"/>
        </w:rPr>
        <w:t>3  Stimmrechtsbindung</w:t>
      </w:r>
      <w:proofErr w:type="gramEnd"/>
    </w:p>
    <w:p w14:paraId="774D0429" w14:textId="77777777" w:rsidR="00646220" w:rsidRDefault="00000000">
      <w:pPr>
        <w:spacing w:before="60" w:after="60"/>
        <w:jc w:val="both"/>
      </w:pPr>
      <w:r>
        <w:t>Die Aktionäre verpflichten sich, ihre Stimmrechte in der Generalversammlung so auszuüben, dass die nachstehenden Grundsätze eingehalten werden. Vor jeder Generalversammlung findet eine Vorbesprechung statt, in der die Aktionäre ihr Stimmverhalten abstimmen.</w:t>
      </w:r>
    </w:p>
    <w:p w14:paraId="60A595E0" w14:textId="77777777" w:rsidR="00646220" w:rsidRDefault="00000000">
      <w:pPr>
        <w:spacing w:before="60" w:after="60"/>
        <w:jc w:val="both"/>
      </w:pPr>
      <w:r>
        <w:t>Folgende Beschlüsse erfordern die einstimmige Zustimmung aller Aktionäre:</w:t>
      </w:r>
    </w:p>
    <w:p w14:paraId="4B738B51" w14:textId="77777777" w:rsidR="00646220" w:rsidRDefault="00000000">
      <w:pPr>
        <w:pStyle w:val="Listenabsatz"/>
        <w:numPr>
          <w:ilvl w:val="0"/>
          <w:numId w:val="2"/>
        </w:numPr>
        <w:spacing w:before="40" w:after="40"/>
      </w:pPr>
      <w:r>
        <w:t>Änderung der Statuten</w:t>
      </w:r>
    </w:p>
    <w:p w14:paraId="2AB46D35" w14:textId="77777777" w:rsidR="00646220" w:rsidRDefault="00000000">
      <w:pPr>
        <w:pStyle w:val="Listenabsatz"/>
        <w:numPr>
          <w:ilvl w:val="0"/>
          <w:numId w:val="2"/>
        </w:numPr>
        <w:spacing w:before="40" w:after="40"/>
      </w:pPr>
      <w:r>
        <w:t>Kapitalerhöhung oder Kapitalherabsetzung</w:t>
      </w:r>
    </w:p>
    <w:p w14:paraId="66CE485E" w14:textId="77777777" w:rsidR="00646220" w:rsidRDefault="00000000">
      <w:pPr>
        <w:pStyle w:val="Listenabsatz"/>
        <w:numPr>
          <w:ilvl w:val="0"/>
          <w:numId w:val="2"/>
        </w:numPr>
        <w:spacing w:before="40" w:after="40"/>
      </w:pPr>
      <w:r>
        <w:t>Fusion, Spaltung, Umwandlung oder Liquidation der Gesellschaft</w:t>
      </w:r>
    </w:p>
    <w:p w14:paraId="12BB2E3F" w14:textId="77777777" w:rsidR="00646220" w:rsidRDefault="00000000">
      <w:pPr>
        <w:pStyle w:val="Listenabsatz"/>
        <w:numPr>
          <w:ilvl w:val="0"/>
          <w:numId w:val="2"/>
        </w:numPr>
        <w:spacing w:before="40" w:after="40"/>
      </w:pPr>
      <w:r>
        <w:t>Verkauf wesentlicher Vermögenswerte oder des Geschäftsbetriebs</w:t>
      </w:r>
    </w:p>
    <w:p w14:paraId="31E9D02C" w14:textId="77777777" w:rsidR="00646220" w:rsidRDefault="00000000">
      <w:pPr>
        <w:pStyle w:val="Listenabsatz"/>
        <w:numPr>
          <w:ilvl w:val="0"/>
          <w:numId w:val="2"/>
        </w:numPr>
        <w:spacing w:before="40" w:after="40"/>
      </w:pPr>
      <w:r>
        <w:t>Aufnahme neuer Aktionäre</w:t>
      </w:r>
    </w:p>
    <w:p w14:paraId="71E4050B" w14:textId="77777777" w:rsidR="00646220" w:rsidRDefault="00000000">
      <w:pPr>
        <w:pStyle w:val="Listenabsatz"/>
        <w:numPr>
          <w:ilvl w:val="0"/>
          <w:numId w:val="2"/>
        </w:numPr>
        <w:spacing w:before="40" w:after="40"/>
      </w:pPr>
      <w:r>
        <w:t>Ausschüttung von Dividenden oberhalb von [Prozentsatz] des Jahresgewinns</w:t>
      </w:r>
    </w:p>
    <w:p w14:paraId="53A267C3" w14:textId="77777777" w:rsidR="00646220" w:rsidRDefault="00000000">
      <w:pPr>
        <w:spacing w:before="280" w:after="120"/>
      </w:pPr>
      <w:r>
        <w:rPr>
          <w:b/>
          <w:bCs/>
          <w:color w:val="1F4E79"/>
          <w:sz w:val="24"/>
          <w:szCs w:val="24"/>
        </w:rPr>
        <w:lastRenderedPageBreak/>
        <w:t xml:space="preserve">Art. </w:t>
      </w:r>
      <w:proofErr w:type="gramStart"/>
      <w:r>
        <w:rPr>
          <w:b/>
          <w:bCs/>
          <w:color w:val="1F4E79"/>
          <w:sz w:val="24"/>
          <w:szCs w:val="24"/>
        </w:rPr>
        <w:t>4  Übertragung</w:t>
      </w:r>
      <w:proofErr w:type="gramEnd"/>
      <w:r>
        <w:rPr>
          <w:b/>
          <w:bCs/>
          <w:color w:val="1F4E79"/>
          <w:sz w:val="24"/>
          <w:szCs w:val="24"/>
        </w:rPr>
        <w:t xml:space="preserve"> von Aktien</w:t>
      </w:r>
    </w:p>
    <w:p w14:paraId="18738BEB" w14:textId="77777777" w:rsidR="00646220" w:rsidRDefault="00000000">
      <w:pPr>
        <w:pStyle w:val="berschrift3"/>
      </w:pPr>
      <w:proofErr w:type="gramStart"/>
      <w:r>
        <w:t>4.1  Grundsatz</w:t>
      </w:r>
      <w:proofErr w:type="gramEnd"/>
    </w:p>
    <w:p w14:paraId="23CB7550" w14:textId="77777777" w:rsidR="00646220" w:rsidRDefault="00000000">
      <w:pPr>
        <w:spacing w:before="60" w:after="60"/>
        <w:jc w:val="both"/>
      </w:pPr>
      <w:r>
        <w:t>Die Übertragung von Aktien an Dritte ist nur mit schriftlicher Zustimmung aller übrigen Aktionäre zulässig. Übertragungen an direkte Nachkommen, Ehegatten oder eingetragene Partner sind ohne Zustimmung zulässig, sofern der Erwerber diesem Vertrag schriftlich beitritt.</w:t>
      </w:r>
    </w:p>
    <w:p w14:paraId="4F6047B7" w14:textId="77777777" w:rsidR="00646220" w:rsidRDefault="00000000">
      <w:pPr>
        <w:pStyle w:val="berschrift3"/>
      </w:pPr>
      <w:proofErr w:type="gramStart"/>
      <w:r>
        <w:t>4.2  Vorkaufsrecht</w:t>
      </w:r>
      <w:proofErr w:type="gramEnd"/>
    </w:p>
    <w:p w14:paraId="3BAC2686" w14:textId="77777777" w:rsidR="00646220" w:rsidRDefault="00000000">
      <w:pPr>
        <w:spacing w:before="60" w:after="60"/>
        <w:jc w:val="both"/>
      </w:pPr>
      <w:r>
        <w:t>Will ein Aktionär seine Aktien ganz oder teilweise an Dritte veräussern, so haben die übrigen Aktionäre ein Vorkaufsrecht im Verhältnis ihrer Beteiligung. Das Vorkaufsrecht ist innert 60 Tagen nach schriftlicher Mitteilung des Kaufangebots schriftlich auszuüben.</w:t>
      </w:r>
    </w:p>
    <w:p w14:paraId="564EC3DC" w14:textId="77777777" w:rsidR="00646220" w:rsidRDefault="00000000">
      <w:pPr>
        <w:pStyle w:val="berschrift3"/>
      </w:pPr>
      <w:proofErr w:type="gramStart"/>
      <w:r>
        <w:t>4.3  Mitverkaufsrecht</w:t>
      </w:r>
      <w:proofErr w:type="gramEnd"/>
      <w:r>
        <w:t xml:space="preserve"> (Tag-</w:t>
      </w:r>
      <w:proofErr w:type="spellStart"/>
      <w:r>
        <w:t>Along</w:t>
      </w:r>
      <w:proofErr w:type="spellEnd"/>
      <w:r>
        <w:t>)</w:t>
      </w:r>
    </w:p>
    <w:p w14:paraId="26BCBF51" w14:textId="77777777" w:rsidR="00646220" w:rsidRDefault="00000000">
      <w:pPr>
        <w:spacing w:before="60" w:after="60"/>
        <w:jc w:val="both"/>
      </w:pPr>
      <w:r>
        <w:t>Veräussert ein Aktionär seine Aktien an einen Dritten, können die übrigen Aktionäre verlangen, dass ihre Aktien zu denselben Konditionen mitverkauft werden.</w:t>
      </w:r>
    </w:p>
    <w:p w14:paraId="32044B96" w14:textId="77777777" w:rsidR="00646220" w:rsidRDefault="00000000">
      <w:pPr>
        <w:pStyle w:val="berschrift3"/>
      </w:pPr>
      <w:proofErr w:type="gramStart"/>
      <w:r>
        <w:t>4.4  Mitverkaufspflicht</w:t>
      </w:r>
      <w:proofErr w:type="gramEnd"/>
      <w:r>
        <w:t xml:space="preserve"> (Drag-</w:t>
      </w:r>
      <w:proofErr w:type="spellStart"/>
      <w:r>
        <w:t>Along</w:t>
      </w:r>
      <w:proofErr w:type="spellEnd"/>
      <w:r>
        <w:t>)</w:t>
      </w:r>
    </w:p>
    <w:p w14:paraId="69D48611" w14:textId="77777777" w:rsidR="00646220" w:rsidRDefault="00000000">
      <w:pPr>
        <w:spacing w:before="60" w:after="60"/>
        <w:jc w:val="both"/>
      </w:pPr>
      <w:r>
        <w:t>Erhalten Aktionäre, die zusammen mehr als [75] % des Aktienkapitals halten, ein verbindliches Kaufangebot für 100 % der Aktien, können sie verlangen, dass die übrigen Aktionäre ihre Aktien zu denselben Konditionen mitverkaufen.</w:t>
      </w:r>
    </w:p>
    <w:p w14:paraId="19282C72" w14:textId="77777777" w:rsidR="00646220" w:rsidRDefault="00000000">
      <w:pPr>
        <w:spacing w:before="280" w:after="120"/>
      </w:pPr>
      <w:r>
        <w:rPr>
          <w:b/>
          <w:bCs/>
          <w:color w:val="1F4E79"/>
          <w:sz w:val="24"/>
          <w:szCs w:val="24"/>
        </w:rPr>
        <w:t xml:space="preserve">Art. </w:t>
      </w:r>
      <w:proofErr w:type="gramStart"/>
      <w:r>
        <w:rPr>
          <w:b/>
          <w:bCs/>
          <w:color w:val="1F4E79"/>
          <w:sz w:val="24"/>
          <w:szCs w:val="24"/>
        </w:rPr>
        <w:t>5  Bewertung</w:t>
      </w:r>
      <w:proofErr w:type="gramEnd"/>
      <w:r>
        <w:rPr>
          <w:b/>
          <w:bCs/>
          <w:color w:val="1F4E79"/>
          <w:sz w:val="24"/>
          <w:szCs w:val="24"/>
        </w:rPr>
        <w:t xml:space="preserve"> der Aktien</w:t>
      </w:r>
    </w:p>
    <w:p w14:paraId="353DC4F7" w14:textId="77777777" w:rsidR="00646220" w:rsidRDefault="00000000">
      <w:pPr>
        <w:spacing w:before="60" w:after="60"/>
        <w:jc w:val="both"/>
      </w:pPr>
      <w:r>
        <w:t xml:space="preserve">Soweit dieser Vertrag eine Bewertung der Aktien erfordert und sich die Parteien nicht innert 30 Tagen einigen, wird der Wert durch einen unabhängigen, von den Parteien gemeinsam zu bestimmenden Revisor oder Treuhänder festgelegt. Bei fehlender Einigung über die Person wird diese durch die </w:t>
      </w:r>
      <w:proofErr w:type="gramStart"/>
      <w:r>
        <w:t>Schweizerische</w:t>
      </w:r>
      <w:proofErr w:type="gramEnd"/>
      <w:r>
        <w:t xml:space="preserve"> Kammer der Treuhand- und Unternehmensberater bezeichnet. Die Bewertung erfolgt nach der </w:t>
      </w:r>
      <w:proofErr w:type="spellStart"/>
      <w:r>
        <w:t>Praktikermethode</w:t>
      </w:r>
      <w:proofErr w:type="spellEnd"/>
      <w:r>
        <w:t xml:space="preserve"> (Mischung aus Ertrags- und Substanzwert) oder einer gleichwertigen anerkannten Methode.</w:t>
      </w:r>
    </w:p>
    <w:p w14:paraId="1DBA1060" w14:textId="77777777" w:rsidR="00646220" w:rsidRDefault="00000000">
      <w:pPr>
        <w:spacing w:before="280" w:after="120"/>
      </w:pPr>
      <w:r>
        <w:rPr>
          <w:b/>
          <w:bCs/>
          <w:color w:val="1F4E79"/>
          <w:sz w:val="24"/>
          <w:szCs w:val="24"/>
        </w:rPr>
        <w:t xml:space="preserve">Art. </w:t>
      </w:r>
      <w:proofErr w:type="gramStart"/>
      <w:r>
        <w:rPr>
          <w:b/>
          <w:bCs/>
          <w:color w:val="1F4E79"/>
          <w:sz w:val="24"/>
          <w:szCs w:val="24"/>
        </w:rPr>
        <w:t>6  Kauf</w:t>
      </w:r>
      <w:proofErr w:type="gramEnd"/>
      <w:r>
        <w:rPr>
          <w:b/>
          <w:bCs/>
          <w:color w:val="1F4E79"/>
          <w:sz w:val="24"/>
          <w:szCs w:val="24"/>
        </w:rPr>
        <w:t>-/Verkaufsrecht bei besonderen Ereignissen</w:t>
      </w:r>
    </w:p>
    <w:p w14:paraId="0612E1C9" w14:textId="77777777" w:rsidR="00646220" w:rsidRDefault="00000000">
      <w:pPr>
        <w:spacing w:before="60" w:after="60"/>
        <w:jc w:val="both"/>
      </w:pPr>
      <w:r>
        <w:t>Die übrigen Aktionäre haben das Recht, die Aktien eines Aktionärs zum gemäss Art. 5 ermittelten Wert zu übernehmen, wenn:</w:t>
      </w:r>
    </w:p>
    <w:p w14:paraId="1D6C8442" w14:textId="77777777" w:rsidR="00646220" w:rsidRDefault="00000000">
      <w:pPr>
        <w:pStyle w:val="Listenabsatz"/>
        <w:numPr>
          <w:ilvl w:val="0"/>
          <w:numId w:val="2"/>
        </w:numPr>
        <w:spacing w:before="40" w:after="40"/>
      </w:pPr>
      <w:r>
        <w:t>der Aktionär stirbt oder dauerhaft handlungsunfähig wird</w:t>
      </w:r>
    </w:p>
    <w:p w14:paraId="671AA035" w14:textId="77777777" w:rsidR="00646220" w:rsidRDefault="00000000">
      <w:pPr>
        <w:pStyle w:val="Listenabsatz"/>
        <w:numPr>
          <w:ilvl w:val="0"/>
          <w:numId w:val="2"/>
        </w:numPr>
        <w:spacing w:before="40" w:after="40"/>
      </w:pPr>
      <w:r>
        <w:t>über ihn der Konkurs eröffnet wird</w:t>
      </w:r>
    </w:p>
    <w:p w14:paraId="0380EEFE" w14:textId="77777777" w:rsidR="00646220" w:rsidRDefault="00000000">
      <w:pPr>
        <w:pStyle w:val="Listenabsatz"/>
        <w:numPr>
          <w:ilvl w:val="0"/>
          <w:numId w:val="2"/>
        </w:numPr>
        <w:spacing w:before="40" w:after="40"/>
      </w:pPr>
      <w:r>
        <w:t>er wesentliche Pflichten aus diesem Vertrag schwer verletzt</w:t>
      </w:r>
    </w:p>
    <w:p w14:paraId="045D42AB" w14:textId="77777777" w:rsidR="00646220" w:rsidRDefault="00000000">
      <w:pPr>
        <w:pStyle w:val="Listenabsatz"/>
        <w:numPr>
          <w:ilvl w:val="0"/>
          <w:numId w:val="2"/>
        </w:numPr>
        <w:spacing w:before="40" w:after="40"/>
      </w:pPr>
      <w:r>
        <w:t>seine Beteiligung durch Scheidung oder Erbteilung gefährdet ist</w:t>
      </w:r>
    </w:p>
    <w:p w14:paraId="08D35D09" w14:textId="77777777" w:rsidR="00646220" w:rsidRDefault="00000000">
      <w:pPr>
        <w:spacing w:before="280" w:after="120"/>
      </w:pPr>
      <w:r>
        <w:rPr>
          <w:b/>
          <w:bCs/>
          <w:color w:val="1F4E79"/>
          <w:sz w:val="24"/>
          <w:szCs w:val="24"/>
        </w:rPr>
        <w:t xml:space="preserve">Art. </w:t>
      </w:r>
      <w:proofErr w:type="gramStart"/>
      <w:r>
        <w:rPr>
          <w:b/>
          <w:bCs/>
          <w:color w:val="1F4E79"/>
          <w:sz w:val="24"/>
          <w:szCs w:val="24"/>
        </w:rPr>
        <w:t>7  Konkurrenzverbot</w:t>
      </w:r>
      <w:proofErr w:type="gramEnd"/>
    </w:p>
    <w:p w14:paraId="2FA4DD9D" w14:textId="77777777" w:rsidR="00646220" w:rsidRDefault="00000000">
      <w:pPr>
        <w:spacing w:before="60" w:after="60"/>
        <w:jc w:val="both"/>
      </w:pPr>
      <w:r>
        <w:t>Die Aktionäre, die aktiv für die Gesellschaft tätig sind, verpflichten sich, während der Dauer ihrer Tätigkeit sowie während [12/24] Monaten danach weder direkt noch indirekt in Konkurrenz zur Gesellschaft zu treten. Bei Verletzung ist eine Konventionalstrafe von CHF [Betrag] geschuldet.</w:t>
      </w:r>
    </w:p>
    <w:p w14:paraId="62D6A47A" w14:textId="77777777" w:rsidR="00646220" w:rsidRDefault="00000000">
      <w:pPr>
        <w:spacing w:before="280" w:after="120"/>
      </w:pPr>
      <w:r>
        <w:rPr>
          <w:b/>
          <w:bCs/>
          <w:color w:val="1F4E79"/>
          <w:sz w:val="24"/>
          <w:szCs w:val="24"/>
        </w:rPr>
        <w:t xml:space="preserve">Art. </w:t>
      </w:r>
      <w:proofErr w:type="gramStart"/>
      <w:r>
        <w:rPr>
          <w:b/>
          <w:bCs/>
          <w:color w:val="1F4E79"/>
          <w:sz w:val="24"/>
          <w:szCs w:val="24"/>
        </w:rPr>
        <w:t>8  Vertraulichkeit</w:t>
      </w:r>
      <w:proofErr w:type="gramEnd"/>
    </w:p>
    <w:p w14:paraId="5F70D15B" w14:textId="77777777" w:rsidR="00646220" w:rsidRDefault="00000000">
      <w:pPr>
        <w:spacing w:before="60" w:after="60"/>
        <w:jc w:val="both"/>
      </w:pPr>
      <w:r>
        <w:t>Die Aktionäre verpflichten sich, alle im Rahmen ihrer Aktionärsstellung erlangten vertraulichen Informationen geheim zu halten und ausschliesslich im Interesse der Gesellschaft zu verwenden.</w:t>
      </w:r>
    </w:p>
    <w:p w14:paraId="061C85A0" w14:textId="77777777" w:rsidR="00646220" w:rsidRDefault="00000000">
      <w:pPr>
        <w:spacing w:before="280" w:after="120"/>
      </w:pPr>
      <w:r>
        <w:rPr>
          <w:b/>
          <w:bCs/>
          <w:color w:val="1F4E79"/>
          <w:sz w:val="24"/>
          <w:szCs w:val="24"/>
        </w:rPr>
        <w:lastRenderedPageBreak/>
        <w:t xml:space="preserve">Art. </w:t>
      </w:r>
      <w:proofErr w:type="gramStart"/>
      <w:r>
        <w:rPr>
          <w:b/>
          <w:bCs/>
          <w:color w:val="1F4E79"/>
          <w:sz w:val="24"/>
          <w:szCs w:val="24"/>
        </w:rPr>
        <w:t>9  Dauer</w:t>
      </w:r>
      <w:proofErr w:type="gramEnd"/>
      <w:r>
        <w:rPr>
          <w:b/>
          <w:bCs/>
          <w:color w:val="1F4E79"/>
          <w:sz w:val="24"/>
          <w:szCs w:val="24"/>
        </w:rPr>
        <w:t xml:space="preserve"> und Kündigung</w:t>
      </w:r>
    </w:p>
    <w:p w14:paraId="0F3EFE61" w14:textId="77777777" w:rsidR="00646220" w:rsidRDefault="00000000">
      <w:pPr>
        <w:spacing w:before="60" w:after="60"/>
        <w:jc w:val="both"/>
      </w:pPr>
      <w:r>
        <w:t>Dieser Vertrag tritt am [Datum] in Kraft und gilt auf unbestimmte Zeit. Er kann von jedem Aktionär unter Einhaltung einer Frist von 12 Monaten auf Ende eines Geschäftsjahres schriftlich gekündigt werden, frühestens jedoch auf den [Datum]. Bei Austritt eines Aktionärs bleibt dieser Vertrag für die verbleibenden Aktionäre bestehen.</w:t>
      </w:r>
    </w:p>
    <w:p w14:paraId="7EB18C00" w14:textId="77777777" w:rsidR="00646220" w:rsidRDefault="00000000">
      <w:pPr>
        <w:spacing w:before="280" w:after="120"/>
      </w:pPr>
      <w:r>
        <w:rPr>
          <w:b/>
          <w:bCs/>
          <w:color w:val="1F4E79"/>
          <w:sz w:val="24"/>
          <w:szCs w:val="24"/>
        </w:rPr>
        <w:t xml:space="preserve">Art. </w:t>
      </w:r>
      <w:proofErr w:type="gramStart"/>
      <w:r>
        <w:rPr>
          <w:b/>
          <w:bCs/>
          <w:color w:val="1F4E79"/>
          <w:sz w:val="24"/>
          <w:szCs w:val="24"/>
        </w:rPr>
        <w:t>10  Schlussbestimmungen</w:t>
      </w:r>
      <w:proofErr w:type="gramEnd"/>
    </w:p>
    <w:p w14:paraId="7C54E81D" w14:textId="77777777" w:rsidR="00646220" w:rsidRDefault="00000000">
      <w:pPr>
        <w:pStyle w:val="berschrift3"/>
      </w:pPr>
      <w:proofErr w:type="gramStart"/>
      <w:r>
        <w:t>10.1  Änderungen</w:t>
      </w:r>
      <w:proofErr w:type="gramEnd"/>
    </w:p>
    <w:p w14:paraId="60599426" w14:textId="77777777" w:rsidR="00646220" w:rsidRDefault="00000000">
      <w:pPr>
        <w:spacing w:before="60" w:after="60"/>
        <w:jc w:val="both"/>
      </w:pPr>
      <w:r>
        <w:t>Änderungen dieses Vertrags bedürfen der Schriftform und der Zustimmung aller Aktionäre.</w:t>
      </w:r>
    </w:p>
    <w:p w14:paraId="67955A22" w14:textId="77777777" w:rsidR="00646220" w:rsidRDefault="00000000">
      <w:pPr>
        <w:pStyle w:val="berschrift3"/>
      </w:pPr>
      <w:proofErr w:type="gramStart"/>
      <w:r>
        <w:t>10.2  Salvatorische</w:t>
      </w:r>
      <w:proofErr w:type="gramEnd"/>
      <w:r>
        <w:t xml:space="preserve"> Klausel</w:t>
      </w:r>
    </w:p>
    <w:p w14:paraId="67AFAC81" w14:textId="77777777" w:rsidR="00646220" w:rsidRDefault="00000000">
      <w:pPr>
        <w:spacing w:before="60" w:after="60"/>
        <w:jc w:val="both"/>
      </w:pPr>
      <w:r>
        <w:t>Sollten einzelne Bestimmungen ungültig sein oder werden, bleibt die Gültigkeit der übrigen Bestimmungen davon unberührt.</w:t>
      </w:r>
    </w:p>
    <w:p w14:paraId="5979CF1E" w14:textId="77777777" w:rsidR="00646220" w:rsidRDefault="00000000">
      <w:pPr>
        <w:pStyle w:val="berschrift3"/>
      </w:pPr>
      <w:proofErr w:type="gramStart"/>
      <w:r>
        <w:t>10.3  Anwendbares</w:t>
      </w:r>
      <w:proofErr w:type="gramEnd"/>
      <w:r>
        <w:t xml:space="preserve"> Recht und Gerichtsstand</w:t>
      </w:r>
    </w:p>
    <w:p w14:paraId="310B8E36" w14:textId="77777777" w:rsidR="00646220" w:rsidRDefault="00000000">
      <w:pPr>
        <w:spacing w:before="60" w:after="60"/>
        <w:jc w:val="both"/>
      </w:pPr>
      <w:r>
        <w:t>Dieser Vertrag untersteht dem schweizerischen Recht. Gerichtsstand ist [Ort].</w:t>
      </w:r>
    </w:p>
    <w:p w14:paraId="235B7F11" w14:textId="77777777" w:rsidR="00646220" w:rsidRDefault="00000000">
      <w:pPr>
        <w:pStyle w:val="berschrift1"/>
      </w:pPr>
      <w:r>
        <w:t>Unterschriften</w:t>
      </w:r>
    </w:p>
    <w:p w14:paraId="082673AA" w14:textId="77777777" w:rsidR="00646220" w:rsidRDefault="00000000">
      <w:pPr>
        <w:spacing w:before="60" w:after="60"/>
        <w:jc w:val="both"/>
      </w:pPr>
      <w:r>
        <w:t>Dieser Vertrag wird in [Anzahl] gleichlautenden Exemplaren ausgefertigt, je eines für jeden Aktionär und eines für die Gesellschaft.</w:t>
      </w:r>
    </w:p>
    <w:p w14:paraId="462FF4FC" w14:textId="77777777" w:rsidR="00646220" w:rsidRDefault="00646220">
      <w:pPr>
        <w:spacing w:before="480"/>
      </w:pPr>
    </w:p>
    <w:tbl>
      <w:tblPr>
        <w:tblW w:w="90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0"/>
        <w:gridCol w:w="4510"/>
      </w:tblGrid>
      <w:tr w:rsidR="00646220" w14:paraId="6A5B02CC" w14:textId="77777777">
        <w:tblPrEx>
          <w:tblCellMar>
            <w:top w:w="0" w:type="dxa"/>
            <w:bottom w:w="0" w:type="dxa"/>
          </w:tblCellMar>
        </w:tblPrEx>
        <w:tc>
          <w:tcPr>
            <w:tcW w:w="4510" w:type="dxa"/>
            <w:tcBorders>
              <w:top w:val="single" w:sz="4" w:space="0" w:color="333333"/>
              <w:left w:val="none" w:sz="0" w:space="0" w:color="FFFFFF"/>
              <w:bottom w:val="none" w:sz="0" w:space="0" w:color="FFFFFF"/>
              <w:right w:val="none" w:sz="0" w:space="0" w:color="FFFFFF"/>
            </w:tcBorders>
            <w:tcMar>
              <w:top w:w="80" w:type="dxa"/>
              <w:left w:w="0" w:type="dxa"/>
              <w:bottom w:w="40" w:type="dxa"/>
              <w:right w:w="200" w:type="dxa"/>
            </w:tcMar>
          </w:tcPr>
          <w:p w14:paraId="38D6322D" w14:textId="77777777" w:rsidR="00646220" w:rsidRDefault="00000000">
            <w:r>
              <w:rPr>
                <w:color w:val="7F7F7F"/>
                <w:sz w:val="18"/>
                <w:szCs w:val="18"/>
              </w:rPr>
              <w:t>Ort, Datum</w:t>
            </w:r>
          </w:p>
        </w:tc>
        <w:tc>
          <w:tcPr>
            <w:tcW w:w="4510" w:type="dxa"/>
            <w:tcBorders>
              <w:top w:val="single" w:sz="4" w:space="0" w:color="333333"/>
              <w:left w:val="none" w:sz="0" w:space="0" w:color="FFFFFF"/>
              <w:bottom w:val="none" w:sz="0" w:space="0" w:color="FFFFFF"/>
              <w:right w:val="none" w:sz="0" w:space="0" w:color="FFFFFF"/>
            </w:tcBorders>
            <w:tcMar>
              <w:top w:w="80" w:type="dxa"/>
              <w:left w:w="200" w:type="dxa"/>
              <w:bottom w:w="40" w:type="dxa"/>
              <w:right w:w="0" w:type="dxa"/>
            </w:tcMar>
          </w:tcPr>
          <w:p w14:paraId="0C4FBEE5" w14:textId="77777777" w:rsidR="00646220" w:rsidRDefault="00000000">
            <w:r>
              <w:rPr>
                <w:color w:val="7F7F7F"/>
                <w:sz w:val="18"/>
                <w:szCs w:val="18"/>
              </w:rPr>
              <w:t>Unterschrift</w:t>
            </w:r>
          </w:p>
        </w:tc>
      </w:tr>
    </w:tbl>
    <w:p w14:paraId="4087415F" w14:textId="77777777" w:rsidR="00646220" w:rsidRDefault="00646220">
      <w:pPr>
        <w:spacing w:before="480"/>
      </w:pPr>
    </w:p>
    <w:tbl>
      <w:tblPr>
        <w:tblW w:w="90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0"/>
        <w:gridCol w:w="4510"/>
      </w:tblGrid>
      <w:tr w:rsidR="00646220" w14:paraId="10DA7B90" w14:textId="77777777">
        <w:tblPrEx>
          <w:tblCellMar>
            <w:top w:w="0" w:type="dxa"/>
            <w:bottom w:w="0" w:type="dxa"/>
          </w:tblCellMar>
        </w:tblPrEx>
        <w:tc>
          <w:tcPr>
            <w:tcW w:w="4510" w:type="dxa"/>
            <w:tcBorders>
              <w:top w:val="single" w:sz="4" w:space="0" w:color="333333"/>
              <w:left w:val="none" w:sz="0" w:space="0" w:color="FFFFFF"/>
              <w:bottom w:val="none" w:sz="0" w:space="0" w:color="FFFFFF"/>
              <w:right w:val="none" w:sz="0" w:space="0" w:color="FFFFFF"/>
            </w:tcBorders>
            <w:tcMar>
              <w:top w:w="80" w:type="dxa"/>
              <w:left w:w="0" w:type="dxa"/>
              <w:bottom w:w="40" w:type="dxa"/>
              <w:right w:w="200" w:type="dxa"/>
            </w:tcMar>
          </w:tcPr>
          <w:p w14:paraId="1FE3BD9E" w14:textId="77777777" w:rsidR="00646220" w:rsidRDefault="00000000">
            <w:r>
              <w:rPr>
                <w:color w:val="7F7F7F"/>
                <w:sz w:val="18"/>
                <w:szCs w:val="18"/>
              </w:rPr>
              <w:t>Ort, Datum</w:t>
            </w:r>
          </w:p>
        </w:tc>
        <w:tc>
          <w:tcPr>
            <w:tcW w:w="4510" w:type="dxa"/>
            <w:tcBorders>
              <w:top w:val="single" w:sz="4" w:space="0" w:color="333333"/>
              <w:left w:val="none" w:sz="0" w:space="0" w:color="FFFFFF"/>
              <w:bottom w:val="none" w:sz="0" w:space="0" w:color="FFFFFF"/>
              <w:right w:val="none" w:sz="0" w:space="0" w:color="FFFFFF"/>
            </w:tcBorders>
            <w:tcMar>
              <w:top w:w="80" w:type="dxa"/>
              <w:left w:w="200" w:type="dxa"/>
              <w:bottom w:w="40" w:type="dxa"/>
              <w:right w:w="0" w:type="dxa"/>
            </w:tcMar>
          </w:tcPr>
          <w:p w14:paraId="7EEE23A5" w14:textId="77777777" w:rsidR="00646220" w:rsidRDefault="00000000">
            <w:r>
              <w:rPr>
                <w:color w:val="7F7F7F"/>
                <w:sz w:val="18"/>
                <w:szCs w:val="18"/>
              </w:rPr>
              <w:t>Unterschrift</w:t>
            </w:r>
          </w:p>
        </w:tc>
      </w:tr>
    </w:tbl>
    <w:p w14:paraId="28C2F84A" w14:textId="77777777" w:rsidR="00646220" w:rsidRDefault="00000000">
      <w:r>
        <w:br w:type="page"/>
      </w:r>
    </w:p>
    <w:p w14:paraId="5ABBF278" w14:textId="77777777" w:rsidR="00646220" w:rsidRDefault="00000000">
      <w:pPr>
        <w:pStyle w:val="berschrift1"/>
      </w:pPr>
      <w:r>
        <w:lastRenderedPageBreak/>
        <w:t>Anhang – Hinweise zur Anwendung</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0"/>
      </w:tblGrid>
      <w:tr w:rsidR="00646220" w14:paraId="3A613D4B" w14:textId="77777777">
        <w:tblPrEx>
          <w:tblCellMar>
            <w:top w:w="0" w:type="dxa"/>
            <w:bottom w:w="0" w:type="dxa"/>
          </w:tblCellMar>
        </w:tblPrEx>
        <w:tc>
          <w:tcPr>
            <w:tcW w:w="9020" w:type="dxa"/>
            <w:tcBorders>
              <w:top w:val="single" w:sz="4" w:space="0" w:color="2E75B6"/>
              <w:left w:val="single" w:sz="4" w:space="0" w:color="2E75B6"/>
              <w:bottom w:val="single" w:sz="4" w:space="0" w:color="2E75B6"/>
              <w:right w:val="single" w:sz="4" w:space="0" w:color="2E75B6"/>
            </w:tcBorders>
            <w:shd w:val="clear" w:color="auto" w:fill="D9E2F3"/>
            <w:tcMar>
              <w:top w:w="160" w:type="dxa"/>
              <w:left w:w="200" w:type="dxa"/>
              <w:bottom w:w="160" w:type="dxa"/>
              <w:right w:w="200" w:type="dxa"/>
            </w:tcMar>
          </w:tcPr>
          <w:p w14:paraId="7751B949" w14:textId="77777777" w:rsidR="00646220" w:rsidRDefault="00000000">
            <w:pPr>
              <w:spacing w:before="40" w:after="40"/>
            </w:pPr>
            <w:r>
              <w:rPr>
                <w:color w:val="333333"/>
                <w:sz w:val="20"/>
                <w:szCs w:val="20"/>
              </w:rPr>
              <w:t>Dieser ABV deckt die wichtigsten Themen ab. Je nach Situation (Start-up mit Investoren, Familien-AG, Nachfolgelösung) können zusätzliche Klauseln nötig sein:</w:t>
            </w:r>
          </w:p>
          <w:p w14:paraId="153E219B" w14:textId="77777777" w:rsidR="00646220" w:rsidRDefault="00000000">
            <w:pPr>
              <w:spacing w:before="40" w:after="40"/>
            </w:pPr>
            <w:r>
              <w:rPr>
                <w:color w:val="333333"/>
                <w:sz w:val="20"/>
                <w:szCs w:val="20"/>
              </w:rPr>
              <w:t xml:space="preserve">• </w:t>
            </w:r>
            <w:proofErr w:type="spellStart"/>
            <w:r>
              <w:rPr>
                <w:color w:val="333333"/>
                <w:sz w:val="20"/>
                <w:szCs w:val="20"/>
              </w:rPr>
              <w:t>Vesting</w:t>
            </w:r>
            <w:proofErr w:type="spellEnd"/>
            <w:r>
              <w:rPr>
                <w:color w:val="333333"/>
                <w:sz w:val="20"/>
                <w:szCs w:val="20"/>
              </w:rPr>
              <w:t xml:space="preserve"> und Cliff für Gründeraktien</w:t>
            </w:r>
          </w:p>
          <w:p w14:paraId="0B9BE2FF" w14:textId="77777777" w:rsidR="00646220" w:rsidRDefault="00000000">
            <w:pPr>
              <w:spacing w:before="40" w:after="40"/>
            </w:pPr>
            <w:r>
              <w:rPr>
                <w:color w:val="333333"/>
                <w:sz w:val="20"/>
                <w:szCs w:val="20"/>
              </w:rPr>
              <w:t>• Liquidation Preference bei Investorenbeteiligung</w:t>
            </w:r>
          </w:p>
          <w:p w14:paraId="76600023" w14:textId="77777777" w:rsidR="00646220" w:rsidRDefault="00000000">
            <w:pPr>
              <w:spacing w:before="40" w:after="40"/>
            </w:pPr>
            <w:r>
              <w:rPr>
                <w:color w:val="333333"/>
                <w:sz w:val="20"/>
                <w:szCs w:val="20"/>
              </w:rPr>
              <w:t>• Anti-Dilution-Klauseln</w:t>
            </w:r>
          </w:p>
          <w:p w14:paraId="5BF2450F" w14:textId="77777777" w:rsidR="00646220" w:rsidRDefault="00000000">
            <w:pPr>
              <w:spacing w:before="40" w:after="40"/>
            </w:pPr>
            <w:r>
              <w:rPr>
                <w:color w:val="333333"/>
                <w:sz w:val="20"/>
                <w:szCs w:val="20"/>
              </w:rPr>
              <w:t>• Regelung von Patt-Situationen (Shoot-out, Texas/Russian Roulette)</w:t>
            </w:r>
          </w:p>
          <w:p w14:paraId="78504483" w14:textId="77777777" w:rsidR="00646220" w:rsidRDefault="00000000">
            <w:pPr>
              <w:spacing w:before="40" w:after="40"/>
            </w:pPr>
            <w:r>
              <w:rPr>
                <w:color w:val="333333"/>
                <w:sz w:val="20"/>
                <w:szCs w:val="20"/>
              </w:rPr>
              <w:t>Vor Unterzeichnung empfehlen wir zwingend eine Prüfung durch einen Juristen.</w:t>
            </w:r>
          </w:p>
        </w:tc>
      </w:tr>
    </w:tbl>
    <w:p w14:paraId="3F7928B5" w14:textId="77777777" w:rsidR="00F13414" w:rsidRDefault="00F13414"/>
    <w:sectPr w:rsidR="00F13414">
      <w:headerReference w:type="default" r:id="rId7"/>
      <w:footerReference w:type="default" r:id="rId8"/>
      <w:pgSz w:w="11906" w:h="16838"/>
      <w:pgMar w:top="1700" w:right="1440" w:bottom="17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E2711" w14:textId="77777777" w:rsidR="00F13414" w:rsidRDefault="00F13414">
      <w:r>
        <w:separator/>
      </w:r>
    </w:p>
  </w:endnote>
  <w:endnote w:type="continuationSeparator" w:id="0">
    <w:p w14:paraId="53C6F8F9" w14:textId="77777777" w:rsidR="00F13414" w:rsidRDefault="00F13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C8AD" w14:textId="77777777" w:rsidR="00646220" w:rsidRDefault="00000000">
    <w:pPr>
      <w:pBdr>
        <w:top w:val="single" w:sz="4" w:space="6" w:color="A6A6A6"/>
      </w:pBdr>
      <w:tabs>
        <w:tab w:val="right" w:pos="9020"/>
      </w:tabs>
    </w:pPr>
    <w:r>
      <w:rPr>
        <w:color w:val="7F7F7F"/>
        <w:sz w:val="16"/>
        <w:szCs w:val="16"/>
      </w:rPr>
      <w:t xml:space="preserve">Vorlage bereitgestellt von B </w:t>
    </w:r>
    <w:proofErr w:type="spellStart"/>
    <w:r>
      <w:rPr>
        <w:color w:val="7F7F7F"/>
        <w:sz w:val="16"/>
        <w:szCs w:val="16"/>
      </w:rPr>
      <w:t>managed</w:t>
    </w:r>
    <w:proofErr w:type="spellEnd"/>
    <w:r>
      <w:rPr>
        <w:color w:val="7F7F7F"/>
        <w:sz w:val="16"/>
        <w:szCs w:val="16"/>
      </w:rPr>
      <w:t xml:space="preserve"> GmbH | www.b-managed.ch</w:t>
    </w:r>
    <w:r>
      <w:tab/>
    </w:r>
    <w:r>
      <w:rPr>
        <w:color w:val="7F7F7F"/>
        <w:sz w:val="16"/>
        <w:szCs w:val="16"/>
      </w:rPr>
      <w:t xml:space="preserve">Seite </w:t>
    </w:r>
    <w:r>
      <w:rPr>
        <w:color w:val="7F7F7F"/>
        <w:sz w:val="16"/>
        <w:szCs w:val="16"/>
      </w:rPr>
      <w:fldChar w:fldCharType="begin"/>
    </w:r>
    <w:r>
      <w:rPr>
        <w:color w:val="7F7F7F"/>
        <w:sz w:val="16"/>
        <w:szCs w:val="16"/>
      </w:rPr>
      <w:instrText>PAGE</w:instrText>
    </w:r>
    <w:r>
      <w:rPr>
        <w:color w:val="7F7F7F"/>
        <w:sz w:val="16"/>
        <w:szCs w:val="16"/>
      </w:rPr>
      <w:fldChar w:fldCharType="separate"/>
    </w:r>
    <w:r w:rsidR="00A13091">
      <w:rPr>
        <w:noProof/>
        <w:color w:val="7F7F7F"/>
        <w:sz w:val="16"/>
        <w:szCs w:val="16"/>
      </w:rPr>
      <w:t>1</w:t>
    </w:r>
    <w:r>
      <w:rPr>
        <w:color w:val="7F7F7F"/>
        <w:sz w:val="16"/>
        <w:szCs w:val="16"/>
      </w:rPr>
      <w:fldChar w:fldCharType="end"/>
    </w:r>
    <w:r>
      <w:rPr>
        <w:color w:val="7F7F7F"/>
        <w:sz w:val="16"/>
        <w:szCs w:val="16"/>
      </w:rPr>
      <w:t xml:space="preserve"> / </w:t>
    </w:r>
    <w:r>
      <w:rPr>
        <w:color w:val="7F7F7F"/>
        <w:sz w:val="16"/>
        <w:szCs w:val="16"/>
      </w:rPr>
      <w:fldChar w:fldCharType="begin"/>
    </w:r>
    <w:r>
      <w:rPr>
        <w:color w:val="7F7F7F"/>
        <w:sz w:val="16"/>
        <w:szCs w:val="16"/>
      </w:rPr>
      <w:instrText>NUMPAGES</w:instrText>
    </w:r>
    <w:r>
      <w:rPr>
        <w:color w:val="7F7F7F"/>
        <w:sz w:val="16"/>
        <w:szCs w:val="16"/>
      </w:rPr>
      <w:fldChar w:fldCharType="separate"/>
    </w:r>
    <w:r w:rsidR="00A13091">
      <w:rPr>
        <w:noProof/>
        <w:color w:val="7F7F7F"/>
        <w:sz w:val="16"/>
        <w:szCs w:val="16"/>
      </w:rPr>
      <w:t>2</w:t>
    </w:r>
    <w:r>
      <w:rPr>
        <w:color w:val="7F7F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358D" w14:textId="77777777" w:rsidR="00F13414" w:rsidRDefault="00F13414">
      <w:r>
        <w:separator/>
      </w:r>
    </w:p>
  </w:footnote>
  <w:footnote w:type="continuationSeparator" w:id="0">
    <w:p w14:paraId="24C95870" w14:textId="77777777" w:rsidR="00F13414" w:rsidRDefault="00F13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600"/>
      <w:gridCol w:w="5420"/>
    </w:tblGrid>
    <w:tr w:rsidR="00646220" w14:paraId="0208559C" w14:textId="77777777">
      <w:tblPrEx>
        <w:tblCellMar>
          <w:top w:w="0" w:type="dxa"/>
          <w:bottom w:w="0" w:type="dxa"/>
        </w:tblCellMar>
      </w:tblPrEx>
      <w:tc>
        <w:tcPr>
          <w:tcW w:w="36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AEFBF1" w14:textId="77777777" w:rsidR="00646220" w:rsidRDefault="00000000">
          <w:r>
            <w:rPr>
              <w:noProof/>
            </w:rPr>
            <w:drawing>
              <wp:inline distT="0" distB="0" distL="0" distR="0" wp14:anchorId="7C01AADF" wp14:editId="67052917">
                <wp:extent cx="1257300" cy="381000"/>
                <wp:effectExtent l="0" t="0" r="0" b="0"/>
                <wp:docPr id="1" name="BManagedLogo" descr="B-Managed Logo" title="B-Mana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57300" cy="381000"/>
                        </a:xfrm>
                        <a:prstGeom prst="rect">
                          <a:avLst/>
                        </a:prstGeom>
                      </pic:spPr>
                    </pic:pic>
                  </a:graphicData>
                </a:graphic>
              </wp:inline>
            </w:drawing>
          </w:r>
        </w:p>
      </w:tc>
      <w:tc>
        <w:tcPr>
          <w:tcW w:w="542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043D8B" w14:textId="77777777" w:rsidR="00646220" w:rsidRDefault="00000000">
          <w:pPr>
            <w:jc w:val="right"/>
          </w:pPr>
          <w:r>
            <w:rPr>
              <w:b/>
              <w:bCs/>
              <w:color w:val="1F4E79"/>
              <w:sz w:val="18"/>
              <w:szCs w:val="18"/>
            </w:rPr>
            <w:t>Grundpaket KMU</w:t>
          </w:r>
        </w:p>
        <w:p w14:paraId="66B9D409" w14:textId="77777777" w:rsidR="00646220" w:rsidRDefault="00000000">
          <w:pPr>
            <w:spacing w:before="40"/>
            <w:jc w:val="right"/>
          </w:pPr>
          <w:proofErr w:type="spellStart"/>
          <w:r>
            <w:rPr>
              <w:i/>
              <w:iCs/>
              <w:color w:val="7F7F7F"/>
              <w:sz w:val="16"/>
              <w:szCs w:val="16"/>
            </w:rPr>
            <w:t>Aktionärbindungsvertrag</w:t>
          </w:r>
          <w:proofErr w:type="spellEnd"/>
        </w:p>
      </w:tc>
    </w:tr>
  </w:tbl>
  <w:p w14:paraId="14C8EA36" w14:textId="77777777" w:rsidR="00646220" w:rsidRDefault="00646220">
    <w:pPr>
      <w:pBdr>
        <w:bottom w:val="single" w:sz="6" w:space="4" w:color="1F4E79"/>
      </w:pBdr>
      <w:spacing w:before="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66708"/>
    <w:multiLevelType w:val="hybridMultilevel"/>
    <w:tmpl w:val="B5EA405A"/>
    <w:lvl w:ilvl="0" w:tplc="33C6BC54">
      <w:start w:val="1"/>
      <w:numFmt w:val="decimal"/>
      <w:lvlText w:val="%1."/>
      <w:lvlJc w:val="left"/>
      <w:pPr>
        <w:ind w:left="720" w:hanging="360"/>
      </w:pPr>
    </w:lvl>
    <w:lvl w:ilvl="1" w:tplc="6FC2F8D2">
      <w:numFmt w:val="decimal"/>
      <w:lvlText w:val=""/>
      <w:lvlJc w:val="left"/>
    </w:lvl>
    <w:lvl w:ilvl="2" w:tplc="14242AB8">
      <w:numFmt w:val="decimal"/>
      <w:lvlText w:val=""/>
      <w:lvlJc w:val="left"/>
    </w:lvl>
    <w:lvl w:ilvl="3" w:tplc="48F68D7A">
      <w:numFmt w:val="decimal"/>
      <w:lvlText w:val=""/>
      <w:lvlJc w:val="left"/>
    </w:lvl>
    <w:lvl w:ilvl="4" w:tplc="FFB2F614">
      <w:numFmt w:val="decimal"/>
      <w:lvlText w:val=""/>
      <w:lvlJc w:val="left"/>
    </w:lvl>
    <w:lvl w:ilvl="5" w:tplc="1BD06162">
      <w:numFmt w:val="decimal"/>
      <w:lvlText w:val=""/>
      <w:lvlJc w:val="left"/>
    </w:lvl>
    <w:lvl w:ilvl="6" w:tplc="49C0A1A8">
      <w:numFmt w:val="decimal"/>
      <w:lvlText w:val=""/>
      <w:lvlJc w:val="left"/>
    </w:lvl>
    <w:lvl w:ilvl="7" w:tplc="2AF41A08">
      <w:numFmt w:val="decimal"/>
      <w:lvlText w:val=""/>
      <w:lvlJc w:val="left"/>
    </w:lvl>
    <w:lvl w:ilvl="8" w:tplc="13EA3DD6">
      <w:numFmt w:val="decimal"/>
      <w:lvlText w:val=""/>
      <w:lvlJc w:val="left"/>
    </w:lvl>
  </w:abstractNum>
  <w:abstractNum w:abstractNumId="1" w15:restartNumberingAfterBreak="0">
    <w:nsid w:val="4FB528A4"/>
    <w:multiLevelType w:val="hybridMultilevel"/>
    <w:tmpl w:val="A3602C56"/>
    <w:lvl w:ilvl="0" w:tplc="5D8068E6">
      <w:start w:val="1"/>
      <w:numFmt w:val="decimal"/>
      <w:lvlText w:val="Art. %1"/>
      <w:lvlJc w:val="left"/>
      <w:pPr>
        <w:ind w:left="0" w:firstLine="0"/>
      </w:pPr>
    </w:lvl>
    <w:lvl w:ilvl="1" w:tplc="CAE440D0">
      <w:numFmt w:val="decimal"/>
      <w:lvlText w:val=""/>
      <w:lvlJc w:val="left"/>
    </w:lvl>
    <w:lvl w:ilvl="2" w:tplc="F1FC1412">
      <w:numFmt w:val="decimal"/>
      <w:lvlText w:val=""/>
      <w:lvlJc w:val="left"/>
    </w:lvl>
    <w:lvl w:ilvl="3" w:tplc="34364306">
      <w:numFmt w:val="decimal"/>
      <w:lvlText w:val=""/>
      <w:lvlJc w:val="left"/>
    </w:lvl>
    <w:lvl w:ilvl="4" w:tplc="BEC41E7E">
      <w:numFmt w:val="decimal"/>
      <w:lvlText w:val=""/>
      <w:lvlJc w:val="left"/>
    </w:lvl>
    <w:lvl w:ilvl="5" w:tplc="51E055D6">
      <w:numFmt w:val="decimal"/>
      <w:lvlText w:val=""/>
      <w:lvlJc w:val="left"/>
    </w:lvl>
    <w:lvl w:ilvl="6" w:tplc="5F5E09A8">
      <w:numFmt w:val="decimal"/>
      <w:lvlText w:val=""/>
      <w:lvlJc w:val="left"/>
    </w:lvl>
    <w:lvl w:ilvl="7" w:tplc="AE1609A2">
      <w:numFmt w:val="decimal"/>
      <w:lvlText w:val=""/>
      <w:lvlJc w:val="left"/>
    </w:lvl>
    <w:lvl w:ilvl="8" w:tplc="00DEBCAC">
      <w:numFmt w:val="decimal"/>
      <w:lvlText w:val=""/>
      <w:lvlJc w:val="left"/>
    </w:lvl>
  </w:abstractNum>
  <w:abstractNum w:abstractNumId="2" w15:restartNumberingAfterBreak="0">
    <w:nsid w:val="66715C90"/>
    <w:multiLevelType w:val="hybridMultilevel"/>
    <w:tmpl w:val="89A26E5C"/>
    <w:lvl w:ilvl="0" w:tplc="4A08739E">
      <w:start w:val="1"/>
      <w:numFmt w:val="bullet"/>
      <w:lvlText w:val="●"/>
      <w:lvlJc w:val="left"/>
      <w:pPr>
        <w:ind w:left="720" w:hanging="360"/>
      </w:pPr>
    </w:lvl>
    <w:lvl w:ilvl="1" w:tplc="FF7E0F6E">
      <w:start w:val="1"/>
      <w:numFmt w:val="bullet"/>
      <w:lvlText w:val="○"/>
      <w:lvlJc w:val="left"/>
      <w:pPr>
        <w:ind w:left="1440" w:hanging="360"/>
      </w:pPr>
    </w:lvl>
    <w:lvl w:ilvl="2" w:tplc="66DC6702">
      <w:start w:val="1"/>
      <w:numFmt w:val="bullet"/>
      <w:lvlText w:val="■"/>
      <w:lvlJc w:val="left"/>
      <w:pPr>
        <w:ind w:left="2160" w:hanging="360"/>
      </w:pPr>
    </w:lvl>
    <w:lvl w:ilvl="3" w:tplc="529457B0">
      <w:start w:val="1"/>
      <w:numFmt w:val="bullet"/>
      <w:lvlText w:val="●"/>
      <w:lvlJc w:val="left"/>
      <w:pPr>
        <w:ind w:left="2880" w:hanging="360"/>
      </w:pPr>
    </w:lvl>
    <w:lvl w:ilvl="4" w:tplc="7CB6D76E">
      <w:start w:val="1"/>
      <w:numFmt w:val="bullet"/>
      <w:lvlText w:val="○"/>
      <w:lvlJc w:val="left"/>
      <w:pPr>
        <w:ind w:left="3600" w:hanging="360"/>
      </w:pPr>
    </w:lvl>
    <w:lvl w:ilvl="5" w:tplc="33E2C608">
      <w:start w:val="1"/>
      <w:numFmt w:val="bullet"/>
      <w:lvlText w:val="■"/>
      <w:lvlJc w:val="left"/>
      <w:pPr>
        <w:ind w:left="4320" w:hanging="360"/>
      </w:pPr>
    </w:lvl>
    <w:lvl w:ilvl="6" w:tplc="A97EF7B0">
      <w:start w:val="1"/>
      <w:numFmt w:val="bullet"/>
      <w:lvlText w:val="●"/>
      <w:lvlJc w:val="left"/>
      <w:pPr>
        <w:ind w:left="5040" w:hanging="360"/>
      </w:pPr>
    </w:lvl>
    <w:lvl w:ilvl="7" w:tplc="AA867C48">
      <w:start w:val="1"/>
      <w:numFmt w:val="bullet"/>
      <w:lvlText w:val="●"/>
      <w:lvlJc w:val="left"/>
      <w:pPr>
        <w:ind w:left="5760" w:hanging="360"/>
      </w:pPr>
    </w:lvl>
    <w:lvl w:ilvl="8" w:tplc="40685B40">
      <w:start w:val="1"/>
      <w:numFmt w:val="bullet"/>
      <w:lvlText w:val="●"/>
      <w:lvlJc w:val="left"/>
      <w:pPr>
        <w:ind w:left="6480" w:hanging="360"/>
      </w:pPr>
    </w:lvl>
  </w:abstractNum>
  <w:abstractNum w:abstractNumId="3" w15:restartNumberingAfterBreak="0">
    <w:nsid w:val="755F0BBB"/>
    <w:multiLevelType w:val="hybridMultilevel"/>
    <w:tmpl w:val="823482C6"/>
    <w:lvl w:ilvl="0" w:tplc="8FDA0908">
      <w:start w:val="1"/>
      <w:numFmt w:val="bullet"/>
      <w:lvlText w:val="•"/>
      <w:lvlJc w:val="left"/>
      <w:pPr>
        <w:ind w:left="720" w:hanging="360"/>
      </w:pPr>
    </w:lvl>
    <w:lvl w:ilvl="1" w:tplc="EB10792E">
      <w:start w:val="1"/>
      <w:numFmt w:val="bullet"/>
      <w:lvlText w:val="◦"/>
      <w:lvlJc w:val="left"/>
      <w:pPr>
        <w:ind w:left="1440" w:hanging="360"/>
      </w:pPr>
    </w:lvl>
    <w:lvl w:ilvl="2" w:tplc="65A84F48">
      <w:numFmt w:val="decimal"/>
      <w:lvlText w:val=""/>
      <w:lvlJc w:val="left"/>
    </w:lvl>
    <w:lvl w:ilvl="3" w:tplc="DD1E60A0">
      <w:numFmt w:val="decimal"/>
      <w:lvlText w:val=""/>
      <w:lvlJc w:val="left"/>
    </w:lvl>
    <w:lvl w:ilvl="4" w:tplc="4AA06EFE">
      <w:numFmt w:val="decimal"/>
      <w:lvlText w:val=""/>
      <w:lvlJc w:val="left"/>
    </w:lvl>
    <w:lvl w:ilvl="5" w:tplc="72EC2772">
      <w:numFmt w:val="decimal"/>
      <w:lvlText w:val=""/>
      <w:lvlJc w:val="left"/>
    </w:lvl>
    <w:lvl w:ilvl="6" w:tplc="9EFA805C">
      <w:numFmt w:val="decimal"/>
      <w:lvlText w:val=""/>
      <w:lvlJc w:val="left"/>
    </w:lvl>
    <w:lvl w:ilvl="7" w:tplc="B6DA38E4">
      <w:numFmt w:val="decimal"/>
      <w:lvlText w:val=""/>
      <w:lvlJc w:val="left"/>
    </w:lvl>
    <w:lvl w:ilvl="8" w:tplc="0AE43176">
      <w:numFmt w:val="decimal"/>
      <w:lvlText w:val=""/>
      <w:lvlJc w:val="left"/>
    </w:lvl>
  </w:abstractNum>
  <w:num w:numId="1" w16cid:durableId="980110331">
    <w:abstractNumId w:val="2"/>
    <w:lvlOverride w:ilvl="0">
      <w:startOverride w:val="1"/>
    </w:lvlOverride>
  </w:num>
  <w:num w:numId="2" w16cid:durableId="101253603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220"/>
    <w:rsid w:val="00646220"/>
    <w:rsid w:val="00A13091"/>
    <w:rsid w:val="00CA222F"/>
    <w:rsid w:val="00F134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92EE813"/>
  <w15:docId w15:val="{A7A898AE-1E02-A247-911F-C1611F09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160"/>
      <w:outlineLvl w:val="0"/>
    </w:pPr>
    <w:rPr>
      <w:b/>
      <w:bCs/>
      <w:color w:val="1F4E79"/>
      <w:sz w:val="30"/>
      <w:szCs w:val="30"/>
    </w:rPr>
  </w:style>
  <w:style w:type="paragraph" w:styleId="berschrift2">
    <w:name w:val="heading 2"/>
    <w:uiPriority w:val="9"/>
    <w:unhideWhenUsed/>
    <w:qFormat/>
    <w:pPr>
      <w:spacing w:before="280" w:after="120"/>
      <w:outlineLvl w:val="1"/>
    </w:pPr>
    <w:rPr>
      <w:b/>
      <w:bCs/>
      <w:color w:val="2E75B6"/>
      <w:sz w:val="26"/>
      <w:szCs w:val="26"/>
    </w:rPr>
  </w:style>
  <w:style w:type="paragraph" w:styleId="berschrift3">
    <w:name w:val="heading 3"/>
    <w:uiPriority w:val="9"/>
    <w:unhideWhenUsed/>
    <w:qFormat/>
    <w:pPr>
      <w:spacing w:before="200" w:after="80"/>
      <w:outlineLvl w:val="2"/>
    </w:pPr>
    <w:rPr>
      <w:b/>
      <w:bCs/>
      <w:color w:val="33333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pPr>
      <w:spacing w:after="240"/>
    </w:pPr>
    <w:rPr>
      <w:b/>
      <w:bCs/>
      <w:color w:val="1F4E79"/>
      <w:sz w:val="48"/>
      <w:szCs w:val="48"/>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paragraph" w:styleId="Untertitel">
    <w:name w:val="Subtitle"/>
    <w:uiPriority w:val="11"/>
    <w:qFormat/>
    <w:pPr>
      <w:spacing w:after="480"/>
    </w:pPr>
    <w:rPr>
      <w:i/>
      <w:iCs/>
      <w:color w:val="2E75B6"/>
      <w:sz w:val="28"/>
      <w:szCs w:val="28"/>
    </w:rPr>
  </w:style>
  <w:style w:type="paragraph" w:customStyle="1" w:styleId="Hinweis">
    <w:name w:val="Hinweis"/>
    <w:qFormat/>
    <w:pPr>
      <w:spacing w:before="120" w:after="120"/>
    </w:pPr>
    <w:rPr>
      <w:i/>
      <w:iCs/>
      <w:color w:val="7F7F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06f6f18-7522-4be4-8804-d228d76cde2d}" enabled="1" method="Standard" siteId="{dacd773c-791d-40d0-8b7b-e20c3b4aee7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775</Words>
  <Characters>4888</Characters>
  <Application>Microsoft Office Word</Application>
  <DocSecurity>0</DocSecurity>
  <Lines>40</Lines>
  <Paragraphs>11</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Aktionärbindungsvertrag</dc:title>
  <dc:creator>B managed GmbH</dc:creator>
  <dc:description>B managed GmbH KMU Grundpaket: Aktionärbindungsvertrag</dc:description>
  <cp:lastModifiedBy>Cornelia Boss</cp:lastModifiedBy>
  <cp:revision>2</cp:revision>
  <dcterms:created xsi:type="dcterms:W3CDTF">2026-04-20T09:50:00Z</dcterms:created>
  <dcterms:modified xsi:type="dcterms:W3CDTF">2026-04-20T09:50:00Z</dcterms:modified>
</cp:coreProperties>
</file>